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2.jpg" ContentType="image/jpeg"/>
  <Override PartName="/word/media/rId146.jpg" ContentType="image/jpeg"/>
  <Override PartName="/word/media/rId155.jpg" ContentType="image/jpeg"/>
  <Override PartName="/word/media/rId159.jpg" ContentType="image/jpeg"/>
  <Override PartName="/word/media/rId68.png" ContentType="image/png"/>
  <Override PartName="/word/media/rId72.png" ContentType="image/png"/>
  <Override PartName="/word/media/rId78.png" ContentType="image/png"/>
  <Override PartName="/word/media/rId242.jpg" ContentType="image/jpeg"/>
  <Override PartName="/word/media/rId246.jpg" ContentType="image/jpeg"/>
  <Override PartName="/word/media/rId255.png" ContentType="image/png"/>
  <Override PartName="/word/media/rId259.png" ContentType="image/png"/>
  <Override PartName="/word/media/rId263.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73.jpg" ContentType="image/jpeg"/>
  <Override PartName="/word/media/rId295.png" ContentType="image/png"/>
  <Override PartName="/word/media/rId133.png" ContentType="image/png"/>
  <Override PartName="/word/media/rId206.jpg" ContentType="image/jpeg"/>
  <Override PartName="/word/media/rId218.png" ContentType="image/png"/>
  <Override PartName="/word/media/rId222.jpg" ContentType="image/jpeg"/>
  <Override PartName="/word/media/rId32.png" ContentType="image/png"/>
  <Override PartName="/word/media/rId302.jpg" ContentType="image/jpeg"/>
  <Override PartName="/word/media/rId318.jpg" ContentType="image/jpeg"/>
  <Override PartName="/word/media/rId325.jpg" ContentType="image/jpeg"/>
  <Override PartName="/word/media/rId329.jpg" ContentType="image/jpeg"/>
  <Override PartName="/word/media/rId333.jpg" ContentType="image/jpeg"/>
  <Override PartName="/word/media/rId339.jpg" ContentType="image/jpeg"/>
  <Override PartName="/word/media/rId343.jpg" ContentType="image/jpeg"/>
  <Override PartName="/word/media/rId353.jpg" ContentType="image/jpeg"/>
  <Override PartName="/word/media/rId361.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 1) простые глаголы (это замкнутый класс слов, в котором чуть больше 600 лексем); 2) 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 3) список базисной лексики, или стословный список М. Сводеша.</w:t>
      </w:r>
    </w:p>
    <w:p>
      <w:pPr>
        <w:pStyle w:val="BodyText"/>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TBA рисунок про деексис</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w:t>
      </w:r>
      <w:r>
        <w:t xml:space="preserve">[</w:t>
      </w:r>
      <w:r>
        <w:rPr>
          <w:b/>
          <w:bCs/>
        </w:rPr>
        <w:t xml:space="preserve">ex_4_8с?</w:t>
      </w:r>
      <w:r>
        <w:t xml:space="preserve">]</w:t>
      </w:r>
      <w:r>
        <w:t xml:space="preserve">), контекст правила в нотации генеративной фонологии задан в (27).</w:t>
      </w:r>
    </w:p>
    <w:p>
      <w:pPr>
        <w:pStyle w:val="Compact"/>
        <w:numPr>
          <w:ilvl w:val="0"/>
          <w:numId w:val="1001"/>
        </w:numPr>
      </w:pPr>
      <w:r>
        <w:t xml:space="preserve">/waʔw°/ &gt; waʔaw°</w:t>
      </w:r>
      <w:r>
        <w:t xml:space="preserve"> </w:t>
      </w:r>
      <w:r>
        <w:t xml:space="preserve">‘постель’</w:t>
      </w:r>
    </w:p>
    <w:p>
      <w:pPr>
        <w:pStyle w:val="Compact"/>
        <w:numPr>
          <w:ilvl w:val="0"/>
          <w:numId w:val="1001"/>
        </w:numPr>
      </w:pPr>
      <w:r>
        <w:t xml:space="preserve">/ḿaʔ-j°/ &gt; ḿaʔa-j° чум-POSS.1SG</w:t>
      </w:r>
      <w:r>
        <w:t xml:space="preserve"> </w:t>
      </w:r>
      <w:r>
        <w:t xml:space="preserve">‘мой чум’</w:t>
      </w:r>
    </w:p>
    <w:p>
      <w:pPr>
        <w:pStyle w:val="Compact"/>
        <w:numPr>
          <w:ilvl w:val="0"/>
          <w:numId w:val="1001"/>
        </w:numPr>
      </w:pPr>
      <w:r>
        <w:t xml:space="preserve">/ẃiʔ-λ°/ &gt; ẃiʔi-λ° вода-POSS.2SG</w:t>
      </w:r>
      <w:r>
        <w:t xml:space="preserve"> </w:t>
      </w:r>
      <w:r>
        <w:t xml:space="preserve">‘твоя вода’</w:t>
      </w:r>
    </w:p>
    <w:p>
      <w:pPr>
        <w:pStyle w:val="Compact"/>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7"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7"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w:t>
      </w:r>
      <w:r>
        <w:t xml:space="preserve"> </w:t>
      </w:r>
      <w:r>
        <w:t xml:space="preserve">[57]</w:t>
      </w:r>
      <w:r>
        <w:t xml:space="preserve"> </w:t>
      </w:r>
      <w:r>
        <w:t xml:space="preserve">исследуют русскую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3"/>
        </w:numPr>
      </w:pPr>
      <w:r>
        <w:t xml:space="preserve">Фонотактические ограничения, с которыми сталкиваются носители</w:t>
      </w:r>
      <w:r>
        <w:t xml:space="preserve"> </w:t>
      </w:r>
      <w:r>
        <w:t xml:space="preserve">второго языка (L2);</w:t>
      </w:r>
    </w:p>
    <w:p>
      <w:pPr>
        <w:pStyle w:val="Compact"/>
        <w:numPr>
          <w:ilvl w:val="0"/>
          <w:numId w:val="1003"/>
        </w:numPr>
      </w:pPr>
      <w:r>
        <w:t xml:space="preserve">Морфосинтаксическая интерференция с другими языками;</w:t>
      </w:r>
    </w:p>
    <w:p>
      <w:pPr>
        <w:pStyle w:val="Compact"/>
        <w:numPr>
          <w:ilvl w:val="0"/>
          <w:numId w:val="1003"/>
        </w:numPr>
      </w:pPr>
      <w:r>
        <w:t xml:space="preserve">Отсутствие семантической маркированности;</w:t>
      </w:r>
    </w:p>
    <w:p>
      <w:pPr>
        <w:pStyle w:val="Compact"/>
        <w:numPr>
          <w:ilvl w:val="0"/>
          <w:numId w:val="1003"/>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взравной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Start w:id="116" w:name="заключение"/>
    <w:p>
      <w:pPr>
        <w:pStyle w:val="Heading3"/>
      </w:pPr>
      <w:r>
        <w:t xml:space="preserve">2.2.6 Заключение</w:t>
      </w:r>
    </w:p>
    <w:p>
      <w:pPr>
        <w:pStyle w:val="FirstParagraph"/>
      </w:pPr>
      <w:r>
        <w:t xml:space="preserve">Работа, проведённая лабораторией в 2025 году, развивает перспективы использования квантитативных методов в теоретической и типологической лингвистике. Корпуса текстов на малых языках России и на нестандартных разновидностях русского, собранные и поддерживаемые сотрудниками лаборатории, нашли применение в корпусных исследованиях отдельных языковых явлений. Объектомизучения стали не только данные внутри отдельных корпусов, но и сравнение данных разных корпусов билингвального русского между собой. Использование этих результатов многолетней работы лаборатории позволило глубже изучить некоторые отличительные черты в речи русских билингвов (опущение предлогов, нестандартные конструкции с числительными). Корпуса текстов на адыгских языках, собранные в рамках экспедиций НИУ ВШЭ, помогли исследовать дискурсивные явления в этих языках и так же сравнить между собой данные разных идиомов. Многолетний проект ареально-типологических исследования языков Кавказа пополнился как непосредственно типологическим исследованием новой темы (императивные междометия), выявившим генеалогические и ареальные закономерности, так и методологическим новшеством в виде компьютерных инструментов</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которые позволяют более оптимально визуализировать ареально-типологические данные. Все эти исследовательские работы используют точные методы для изучения языковой конвергенции (свойства ареала, речь билингвов) и смежных языковых явлений.</w:t>
      </w:r>
    </w:p>
    <w:bookmarkEnd w:id="116"/>
    <w:bookmarkEnd w:id="117"/>
    <w:bookmarkStart w:id="122" w:name="sec-7_2"/>
    <w:p>
      <w:pPr>
        <w:pStyle w:val="Heading2"/>
      </w:pPr>
      <w:r>
        <w:t xml:space="preserve">2.3 Исследование нестандартных вариантов русского языка</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когинитвных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 Е.В. Рахилиной и А.К. Казкеновой «Нестандартные метафоры движения в текстах казахско-русских билингвов»</w:t>
      </w:r>
      <w:r>
        <w:t xml:space="preserve"> </w:t>
      </w:r>
      <w:r>
        <w:t xml:space="preserve">[72]</w:t>
      </w:r>
      <w:r>
        <w:t xml:space="preserve">.</w:t>
      </w:r>
    </w:p>
    <w:p>
      <w:pPr>
        <w:pStyle w:val="BodyText"/>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О.Е. Пекелис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p>
      <w:pPr>
        <w:pStyle w:val="BodyText"/>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p>
      <w:pPr>
        <w:pStyle w:val="BodyText"/>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сотрудниками школы лингвистики НИУ ВШЭ и лингвистической лаборатории по корпусным технологиям под руководством Е.В. Рахилиной ресурсов: Корпуса русских учебных текстов (КРУТ:</w:t>
      </w:r>
      <w:r>
        <w:t xml:space="preserve"> </w:t>
      </w:r>
      <w:hyperlink r:id="rId118">
        <w:r>
          <w:rPr>
            <w:rStyle w:val="Hyperlink"/>
          </w:rPr>
          <w:t xml:space="preserve">http://web-corpora.net/learner_corpus/</w:t>
        </w:r>
      </w:hyperlink>
      <w:r>
        <w:t xml:space="preserve">), Русского учебного корпуса (RLC:</w:t>
      </w:r>
      <w:r>
        <w:t xml:space="preserve"> </w:t>
      </w:r>
      <w:hyperlink r:id="rId119">
        <w:r>
          <w:rPr>
            <w:rStyle w:val="Hyperlink"/>
          </w:rPr>
          <w:t xml:space="preserve">http://www.web-corpora.net/RLC/</w:t>
        </w:r>
      </w:hyperlink>
      <w:r>
        <w:t xml:space="preserve">), Корпуса раннего детского письма (StartWrit: </w:t>
      </w:r>
      <w:hyperlink r:id="rId120">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1">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Я.Э. Ахапкиной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bookmarkEnd w:id="122"/>
    <w:bookmarkStart w:id="123" w:name="sec-7_4"/>
    <w:p>
      <w:pPr>
        <w:pStyle w:val="Heading2"/>
      </w:pPr>
      <w:r>
        <w:t xml:space="preserve">2.4 Исследование употребления подчинительных союзов в русском языке</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Ю.М. Кувшинская продолжала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1991 - 2024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процесса формирования независимого употребления предложений с союзами «потому что» и «хотя». Рассматривались два наиболее частостных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составляют 81%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Ю.М. Кувшинской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ею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p>
      <w:pPr>
        <w:pStyle w:val="BodyText"/>
      </w:pPr>
      <w:r>
        <w:t xml:space="preserve">Другим направлением работы Ю.М. Кувшинской стал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силами студентов под руководством Ю.М. Кувшинской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(подготовила студентка 3 курса бакалавриата ФиКЛ НИУ ВШЭ А. Саунина), 2) стандартному и нестандартному употреблению неопределенных местоимений серии на -то (</w:t>
      </w:r>
      <w:r>
        <w:rPr>
          <w:i/>
          <w:iCs/>
        </w:rPr>
        <w:t xml:space="preserve">какой-то, кто-то</w:t>
      </w:r>
      <w:r>
        <w:t xml:space="preserve">) (подготовила студентка 3 курса бакалавриата ФиКЛ НИУ ВШЭ Ю. Данилова).</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3"/>
    <w:bookmarkStart w:id="140" w:name="sec-7_5"/>
    <w:p>
      <w:pPr>
        <w:pStyle w:val="Heading2"/>
      </w:pPr>
      <w:r>
        <w:t xml:space="preserve">2.5 Исследования ошибок в русской речи</w:t>
      </w:r>
    </w:p>
    <w:bookmarkStart w:id="132" w:name="Xb1425e3f7c3280b67d2999a9d45669cecdeb337"/>
    <w:p>
      <w:pPr>
        <w:pStyle w:val="Heading3"/>
      </w:pPr>
      <w:r>
        <w:t xml:space="preserve">2.5.1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4" w:name="Xd636a3d6d22d0ceaf116f3cc6bc7231fa470b7e"/>
    <w:p>
      <w:pPr>
        <w:pStyle w:val="Heading4"/>
      </w:pPr>
      <w:r>
        <w:t xml:space="preserve">2.5.1.1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numPr>
          <w:ilvl w:val="0"/>
          <w:numId w:val="1004"/>
        </w:numPr>
      </w:pPr>
      <w:r>
        <w:rPr>
          <w:b/>
          <w:bCs/>
        </w:rPr>
        <w:t xml:space="preserve">низкая согласованность между разметчиками:</w:t>
      </w:r>
      <w:r>
        <w:t xml:space="preserve">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numPr>
          <w:ilvl w:val="0"/>
          <w:numId w:val="1004"/>
        </w:numPr>
      </w:pPr>
      <w:r>
        <w:rPr>
          <w:b/>
          <w:bCs/>
        </w:rPr>
        <w:t xml:space="preserve">размытые границы между тегами:</w:t>
      </w:r>
      <w:r>
        <w:t xml:space="preserve">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numPr>
          <w:ilvl w:val="0"/>
          <w:numId w:val="1004"/>
        </w:numPr>
      </w:pPr>
      <w:r>
        <w:rPr>
          <w:b/>
          <w:bCs/>
        </w:rPr>
        <w:t xml:space="preserve">неоднородность тегов:</w:t>
      </w:r>
      <w:r>
        <w:t xml:space="preserve">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4"/>
    <w:bookmarkStart w:id="125" w:name="редизайн-системы-аннотирования"/>
    <w:p>
      <w:pPr>
        <w:pStyle w:val="Heading4"/>
      </w:pPr>
      <w:r>
        <w:t xml:space="preserve">2.5.1.2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numPr>
          <w:ilvl w:val="0"/>
          <w:numId w:val="1005"/>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numPr>
          <w:ilvl w:val="0"/>
          <w:numId w:val="1005"/>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numPr>
          <w:ilvl w:val="0"/>
          <w:numId w:val="1005"/>
        </w:numPr>
      </w:pPr>
      <w:r>
        <w:rPr>
          <w:b/>
          <w:bCs/>
        </w:rPr>
        <w:t xml:space="preserve">уведение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5"/>
    <w:bookmarkStart w:id="130" w:name="описание-ключевых-изменений-по-кластерам"/>
    <w:p>
      <w:pPr>
        <w:pStyle w:val="Heading4"/>
      </w:pPr>
      <w:r>
        <w:t xml:space="preserve">2.5.1.3 Описание ключевых изменений по кластерам</w:t>
      </w:r>
    </w:p>
    <w:bookmarkStart w:id="126" w:name="орфографический-кластер"/>
    <w:p>
      <w:pPr>
        <w:pStyle w:val="Heading5"/>
      </w:pPr>
      <w:r>
        <w:t xml:space="preserve">2.5.1.3.1 Орфографический кластер</w:t>
      </w:r>
    </w:p>
    <w:p>
      <w:pPr>
        <w:numPr>
          <w:ilvl w:val="0"/>
          <w:numId w:val="1006"/>
        </w:numPr>
      </w:pPr>
      <w: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numPr>
          <w:ilvl w:val="0"/>
          <w:numId w:val="1006"/>
        </w:numPr>
      </w:pPr>
      <w: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numPr>
          <w:ilvl w:val="0"/>
          <w:numId w:val="1006"/>
        </w:numPr>
      </w:pPr>
      <w: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numPr>
          <w:ilvl w:val="0"/>
          <w:numId w:val="1006"/>
        </w:numPr>
      </w:pPr>
      <w: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numPr>
          <w:ilvl w:val="0"/>
          <w:numId w:val="1007"/>
        </w:numPr>
      </w:pPr>
      <w:r>
        <w:t xml:space="preserve">Ortho (орфографическая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numPr>
          <w:ilvl w:val="0"/>
          <w:numId w:val="1007"/>
        </w:numPr>
      </w:pPr>
      <w:r>
        <w:t xml:space="preserve">Infl (ошибка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6"/>
    <w:bookmarkStart w:id="127" w:name="морфологический-кластер"/>
    <w:p>
      <w:pPr>
        <w:pStyle w:val="Heading5"/>
      </w:pPr>
      <w:r>
        <w:t xml:space="preserve">2.5.1.3.2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7"/>
    <w:bookmarkStart w:id="128" w:name="синтаксический-кластер"/>
    <w:p>
      <w:pPr>
        <w:pStyle w:val="Heading5"/>
      </w:pPr>
      <w:r>
        <w:t xml:space="preserve">2.5.1.3.3 Синтаксический кластер</w:t>
      </w:r>
    </w:p>
    <w:p>
      <w:pPr>
        <w:numPr>
          <w:ilvl w:val="0"/>
          <w:numId w:val="1008"/>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numPr>
          <w:ilvl w:val="0"/>
          <w:numId w:val="1008"/>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numPr>
          <w:ilvl w:val="0"/>
          <w:numId w:val="1008"/>
        </w:numPr>
      </w:pPr>
      <w:r>
        <w:t xml:space="preserve">введено разграничение сферы действия тегов Gov (ошибка в управлении) и Prep (ошибка в предлоге):</w:t>
      </w:r>
    </w:p>
    <w:p>
      <w:pPr>
        <w:numPr>
          <w:ilvl w:val="0"/>
          <w:numId w:val="1008"/>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numPr>
          <w:ilvl w:val="0"/>
          <w:numId w:val="1008"/>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28"/>
    <w:bookmarkStart w:id="129" w:name="лексический-кластер"/>
    <w:p>
      <w:pPr>
        <w:pStyle w:val="Heading5"/>
      </w:pPr>
      <w:r>
        <w:t xml:space="preserve">2.5.1.3.4 Лексический кластер</w:t>
      </w:r>
    </w:p>
    <w:p>
      <w:pPr>
        <w:numPr>
          <w:ilvl w:val="0"/>
          <w:numId w:val="1009"/>
        </w:numPr>
      </w:pPr>
      <w:r>
        <w:t xml:space="preserve">введено разграничение тегов Lex и Asp:</w:t>
      </w:r>
    </w:p>
    <w:p>
      <w:pPr>
        <w:numPr>
          <w:ilvl w:val="0"/>
          <w:numId w:val="1009"/>
        </w:numPr>
      </w:pPr>
      <w:r>
        <w:t xml:space="preserve">Asp: используется, когда ошибка заключается исключительно в выборе аспекта (совершенный/несовершенный) within a correct aspectual pair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numPr>
          <w:ilvl w:val="0"/>
          <w:numId w:val="1009"/>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numPr>
          <w:ilvl w:val="0"/>
          <w:numId w:val="1009"/>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29"/>
    <w:bookmarkEnd w:id="130"/>
    <w:bookmarkStart w:id="131" w:name="X4365c4b1e80d77f5264edc76b213c201898dca9"/>
    <w:p>
      <w:pPr>
        <w:pStyle w:val="Heading4"/>
      </w:pPr>
      <w:r>
        <w:t xml:space="preserve">2.5.1.4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0"/>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0"/>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1"/>
    <w:bookmarkEnd w:id="132"/>
    <w:bookmarkStart w:id="138" w:name="X7eef76021a1d8682a4500ca9ffc394cbaeed1a8"/>
    <w:p>
      <w:pPr>
        <w:pStyle w:val="Heading3"/>
      </w:pPr>
      <w:r>
        <w:t xml:space="preserve">2.5.2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1"/>
        </w:numPr>
      </w:pPr>
      <w:r>
        <w:t xml:space="preserve">предложение без дополнительных ошибок;</w:t>
      </w:r>
    </w:p>
    <w:p>
      <w:pPr>
        <w:numPr>
          <w:ilvl w:val="0"/>
          <w:numId w:val="1011"/>
        </w:numPr>
      </w:pPr>
      <w:r>
        <w:t xml:space="preserve">предложение с дополнительной ошибкой в целевом слове (где находится основная лексическая ошибка);</w:t>
      </w:r>
    </w:p>
    <w:p>
      <w:pPr>
        <w:numPr>
          <w:ilvl w:val="0"/>
          <w:numId w:val="1011"/>
        </w:numPr>
      </w:pPr>
      <w:r>
        <w:t xml:space="preserve">предложение с дополнительной ошибкой вне целевого слова (в правом или левом контексте);</w:t>
      </w:r>
    </w:p>
    <w:p>
      <w:pPr>
        <w:numPr>
          <w:ilvl w:val="0"/>
          <w:numId w:val="1011"/>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1">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1"/>
          <w:p>
            <w:pPr>
              <w:pStyle w:val="Compact"/>
              <w:jc w:val="center"/>
            </w:pPr>
            <w:bookmarkStart w:id="136" w:name="fig-1"/>
            <w:r>
              <w:drawing>
                <wp:inline>
                  <wp:extent cx="5476774" cy="2887578"/>
                  <wp:effectExtent b="0" l="0" r="0" t="0"/>
                  <wp:docPr descr="" title="" id="134" name="Picture"/>
                  <a:graphic>
                    <a:graphicData uri="http://schemas.openxmlformats.org/drawingml/2006/picture">
                      <pic:pic>
                        <pic:nvPicPr>
                          <pic:cNvPr descr="images/corpuslab1.png" id="135" name="Picture"/>
                          <pic:cNvPicPr>
                            <a:picLocks noChangeArrowheads="1" noChangeAspect="1"/>
                          </pic:cNvPicPr>
                        </pic:nvPicPr>
                        <pic:blipFill>
                          <a:blip r:embed="rId133"/>
                          <a:stretch>
                            <a:fillRect/>
                          </a:stretch>
                        </pic:blipFill>
                        <pic:spPr bwMode="auto">
                          <a:xfrm>
                            <a:off x="0" y="0"/>
                            <a:ext cx="5476774" cy="2887578"/>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Рисунок 2.10</w:t>
            </w:r>
          </w:p>
          <w:bookmarkEnd w:id="137"/>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так и вне целевого слова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 связанных пар показывает различия в ошибках в этих типах: ошибки в семантически не связанных парах оказываются значительно более заметными. Ошибки в коллокациях также являются хорошо заметными и легко исправляемыми.</w:t>
      </w:r>
    </w:p>
    <w:bookmarkEnd w:id="138"/>
    <w:bookmarkStart w:id="139" w:name="X4b371e8a4cff1571277383385c9741c4c83c59a"/>
    <w:p>
      <w:pPr>
        <w:pStyle w:val="Heading3"/>
      </w:pPr>
      <w:r>
        <w:t xml:space="preserve">2.5.3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2"/>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2"/>
        </w:numPr>
      </w:pPr>
      <w:r>
        <w:rPr>
          <w:b/>
          <w:bCs/>
        </w:rPr>
        <w:t xml:space="preserve">Basic Empathy Scale</w:t>
      </w:r>
      <w:r>
        <w:t xml:space="preserve"> </w:t>
      </w:r>
      <w:r>
        <w:t xml:space="preserve">[101]</w:t>
      </w:r>
      <w:r>
        <w:t xml:space="preserve"> </w:t>
      </w:r>
      <w:r>
        <w:t xml:space="preserve">— измерение эмпатии;</w:t>
      </w:r>
    </w:p>
    <w:p>
      <w:pPr>
        <w:numPr>
          <w:ilvl w:val="0"/>
          <w:numId w:val="1012"/>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3"/>
        </w:numPr>
      </w:pPr>
      <w:r>
        <w:t xml:space="preserve">женщины показали высокие показатели эмпатии и застенчивости, мужчины — высокие показатели общительности;</w:t>
      </w:r>
    </w:p>
    <w:p>
      <w:pPr>
        <w:numPr>
          <w:ilvl w:val="0"/>
          <w:numId w:val="1013"/>
        </w:numPr>
      </w:pPr>
      <w:r>
        <w:t xml:space="preserve">обнаружена положительная корреляция между эмпатией и застенчивостью (r = 0,37);</w:t>
      </w:r>
    </w:p>
    <w:p>
      <w:pPr>
        <w:numPr>
          <w:ilvl w:val="0"/>
          <w:numId w:val="1013"/>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3"/>
        </w:numPr>
      </w:pPr>
      <w:r>
        <w:t xml:space="preserve">дистанция коррелирует с частотностью слов (r = 0,29): чем чаще слово, тем оно воспринимается как более позитивное;</w:t>
      </w:r>
    </w:p>
    <w:p>
      <w:pPr>
        <w:numPr>
          <w:ilvl w:val="0"/>
          <w:numId w:val="1013"/>
        </w:numPr>
      </w:pPr>
      <w:r>
        <w:t xml:space="preserve">застенчивость оказывает отрицательное влияние на экстремальность оценок (p = 0,002);</w:t>
      </w:r>
    </w:p>
    <w:p>
      <w:pPr>
        <w:numPr>
          <w:ilvl w:val="0"/>
          <w:numId w:val="1013"/>
        </w:numPr>
      </w:pPr>
      <w:r>
        <w:t xml:space="preserve">общительность влияет на приближение фигурки к стимулам (тенденция p &lt; 0,1);</w:t>
      </w:r>
    </w:p>
    <w:p>
      <w:pPr>
        <w:numPr>
          <w:ilvl w:val="0"/>
          <w:numId w:val="1013"/>
        </w:numPr>
      </w:pPr>
      <w:r>
        <w:t xml:space="preserve">эмпатия не показала значимого эффекта;</w:t>
      </w:r>
    </w:p>
    <w:p>
      <w:pPr>
        <w:numPr>
          <w:ilvl w:val="0"/>
          <w:numId w:val="1013"/>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9"/>
    <w:bookmarkEnd w:id="140"/>
    <w:bookmarkStart w:id="165" w:name="X960404ecaea1b439b4693cc620a22beb78bcfa0"/>
    <w:p>
      <w:pPr>
        <w:pStyle w:val="Heading2"/>
      </w:pPr>
      <w:r>
        <w:t xml:space="preserve">2.6 Исследование дискурсивных явлений в адыгских языках</w:t>
      </w:r>
    </w:p>
    <w:p>
      <w:pPr>
        <w:pStyle w:val="FirstParagraph"/>
      </w:pPr>
      <w:r>
        <w:t xml:space="preserve">В рамках работы Международной лаборатории языковой конвергенции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 Пшизов, Хачемзий, Егерухай, Хакуринохабль Республики Адыгея; совместно с Адыгейским государственным университетом) и абазинского языка (а.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такжен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Впрочес,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0" w:name="референциальное-линейное-расстояние"/>
    <w:p>
      <w:pPr>
        <w:pStyle w:val="Heading3"/>
      </w:pPr>
      <w:r>
        <w:t xml:space="preserve">2.6.1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1"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1"/>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5" w:name="fig-2"/>
          <w:p>
            <w:pPr>
              <w:pStyle w:val="Compact"/>
              <w:jc w:val="center"/>
            </w:pPr>
            <w:r>
              <w:drawing>
                <wp:inline>
                  <wp:extent cx="5400675" cy="2924175"/>
                  <wp:effectExtent b="0" l="0" r="0" t="0"/>
                  <wp:docPr descr="" title="" id="143" name="Picture"/>
                  <a:graphic>
                    <a:graphicData uri="http://schemas.openxmlformats.org/drawingml/2006/picture">
                      <pic:pic>
                        <pic:nvPicPr>
                          <pic:cNvPr descr="images/conlab_02_01.jpg" id="144" name="Picture"/>
                          <pic:cNvPicPr>
                            <a:picLocks noChangeArrowheads="1" noChangeAspect="1"/>
                          </pic:cNvPicPr>
                        </pic:nvPicPr>
                        <pic:blipFill>
                          <a:blip r:embed="rId142"/>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Блечепсина.</w:t>
            </w:r>
          </w:p>
          <w:bookmarkEnd w:id="145"/>
        </w:tc>
      </w:tr>
    </w:tbl>
    <w:tbl>
      <w:tblPr>
        <w:tblStyle w:val="Table"/>
        <w:tblW w:type="pct" w:w="5000"/>
        <w:tblLayout w:type="fixed"/>
        <w:tblLook w:firstRow="0" w:lastRow="0" w:firstColumn="0" w:lastColumn="0" w:noHBand="0" w:noVBand="0" w:val="0000"/>
      </w:tblPr>
      <w:tblGrid>
        <w:gridCol w:w="7920"/>
      </w:tblGrid>
      <w:tr>
        <w:tc>
          <w:tcPr/>
          <w:bookmarkStart w:id="149" w:name="fig-3"/>
          <w:p>
            <w:pPr>
              <w:pStyle w:val="Compact"/>
              <w:jc w:val="center"/>
            </w:pPr>
            <w:r>
              <w:drawing>
                <wp:inline>
                  <wp:extent cx="5400675" cy="2924175"/>
                  <wp:effectExtent b="0" l="0" r="0" t="0"/>
                  <wp:docPr descr="" title="" id="147" name="Picture"/>
                  <a:graphic>
                    <a:graphicData uri="http://schemas.openxmlformats.org/drawingml/2006/picture">
                      <pic:pic>
                        <pic:nvPicPr>
                          <pic:cNvPr descr="images/conlab_02_02.jpg" id="148" name="Picture"/>
                          <pic:cNvPicPr>
                            <a:picLocks noChangeArrowheads="1" noChangeAspect="1"/>
                          </pic:cNvPicPr>
                        </pic:nvPicPr>
                        <pic:blipFill>
                          <a:blip r:embed="rId14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Джамбечий.</w:t>
            </w:r>
          </w:p>
          <w:bookmarkEnd w:id="149"/>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0"/>
    <w:bookmarkStart w:id="152" w:name="одушевлённость"/>
    <w:p>
      <w:pPr>
        <w:pStyle w:val="Heading3"/>
      </w:pPr>
      <w:r>
        <w:t xml:space="preserve">2.6.2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1"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1"/>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2"/>
    <w:bookmarkStart w:id="164" w:name="протагонистичность"/>
    <w:p>
      <w:pPr>
        <w:pStyle w:val="Heading3"/>
      </w:pPr>
      <w:r>
        <w:t xml:space="preserve">2.6.3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Блечепсина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3"/>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4"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4"/>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8" w:name="fig-4"/>
          <w:p>
            <w:pPr>
              <w:pStyle w:val="Compact"/>
              <w:jc w:val="center"/>
            </w:pPr>
            <w:r>
              <w:drawing>
                <wp:inline>
                  <wp:extent cx="3781425" cy="3152775"/>
                  <wp:effectExtent b="0" l="0" r="0" t="0"/>
                  <wp:docPr descr="" title="" id="156" name="Picture"/>
                  <a:graphic>
                    <a:graphicData uri="http://schemas.openxmlformats.org/drawingml/2006/picture">
                      <pic:pic>
                        <pic:nvPicPr>
                          <pic:cNvPr descr="images/conlab_02_03.jpg" id="157" name="Picture"/>
                          <pic:cNvPicPr>
                            <a:picLocks noChangeArrowheads="1" noChangeAspect="1"/>
                          </pic:cNvPicPr>
                        </pic:nvPicPr>
                        <pic:blipFill>
                          <a:blip r:embed="rId155"/>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5"/>
          <w:p>
            <w:pPr>
              <w:pStyle w:val="Compact"/>
              <w:jc w:val="center"/>
            </w:pPr>
            <w:r>
              <w:drawing>
                <wp:inline>
                  <wp:extent cx="3829050" cy="3219450"/>
                  <wp:effectExtent b="0" l="0" r="0" t="0"/>
                  <wp:docPr descr="" title="" id="160" name="Picture"/>
                  <a:graphic>
                    <a:graphicData uri="http://schemas.openxmlformats.org/drawingml/2006/picture">
                      <pic:pic>
                        <pic:nvPicPr>
                          <pic:cNvPr descr="images/conlab_02_04.jpg" id="161" name="Picture"/>
                          <pic:cNvPicPr>
                            <a:picLocks noChangeArrowheads="1" noChangeAspect="1"/>
                          </pic:cNvPicPr>
                        </pic:nvPicPr>
                        <pic:blipFill>
                          <a:blip r:embed="rId159"/>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2"/>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3"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3"/>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4"/>
    <w:bookmarkEnd w:id="165"/>
    <w:bookmarkStart w:id="171" w:name="X3f0d6744cddde5f637c4acd747ae230288e112f"/>
    <w:p>
      <w:pPr>
        <w:pStyle w:val="Heading2"/>
      </w:pPr>
      <w:r>
        <w:t xml:space="preserve">2.7 Результативные конструкции в тундровом ненецком языке</w:t>
      </w:r>
    </w:p>
    <w:p>
      <w:pPr>
        <w:pStyle w:val="FirstParagraph"/>
      </w:pPr>
      <w:r>
        <w:t xml:space="preserve">И. А. Стенин занимался исследованием ряда аспектов глагольного морфосинтаксиса тундрового ненецкого языка, в первую очередь результативными конструкциями, слабо описанными 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 pyisy°kəbtə- ~</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Start w:id="166" w:name="Xba8f1673d0c979659c826ecb720ae2cf402249e"/>
    <w:p>
      <w:pPr>
        <w:pStyle w:val="Heading3"/>
      </w:pPr>
      <w:r>
        <w:t xml:space="preserve">2.7.1 Показатели эпистемической модальности и симилятивной деривации в самодийских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под руководством научного сотрудника лаборатории И. А. Стенина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6"/>
    <w:bookmarkStart w:id="167" w:name="Xbc6e674183d52d50c2743ac90bb972de040d8f3"/>
    <w:p>
      <w:pPr>
        <w:pStyle w:val="Heading3"/>
      </w:pPr>
      <w:r>
        <w:t xml:space="preserve">2.7.2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В 2025 г. стажёрка-исследовательница НУЛ социогуманитарных исследований Севера и Арктики М. Бровчук занималась исследованием деривационных процессов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7"/>
    <w:bookmarkStart w:id="168" w:name="Xe55d50fff29068634f3915aee0141c6d6b28f17"/>
    <w:p>
      <w:pPr>
        <w:pStyle w:val="Heading3"/>
      </w:pPr>
      <w:r>
        <w:t xml:space="preserve">2.7.3 Каузативные показатели в ительменском языке</w:t>
      </w:r>
    </w:p>
    <w:p>
      <w:pPr>
        <w:pStyle w:val="FirstParagraph"/>
      </w:pPr>
      <w:r>
        <w:t xml:space="preserve">Стажёр-исследователь НУЛ социогуманитарных исследований Севера и Арктики И. Дергаев в 2025 году изучал каузативные аффиксы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8"/>
    <w:bookmarkStart w:id="169" w:name="X63fcef71c4cba3701f1ed7a7d918aa49b64fb1f"/>
    <w:p>
      <w:pPr>
        <w:pStyle w:val="Heading3"/>
      </w:pPr>
      <w:r>
        <w:t xml:space="preserve">2.7.4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сотрудничестве с Т. А. Майсаком и М. А. Даниэлем.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69"/>
    <w:bookmarkStart w:id="170" w:name="X6be6cd4cbb0a11cecc2f33e8949b7aabadeffd1"/>
    <w:p>
      <w:pPr>
        <w:pStyle w:val="Heading3"/>
      </w:pPr>
      <w:r>
        <w:t xml:space="preserve">2.7.5 Некоторые маркеры будущего времени в шугнанском языке</w:t>
      </w:r>
    </w:p>
    <w:p>
      <w:pPr>
        <w:pStyle w:val="FirstParagraph"/>
      </w:pPr>
      <w:r>
        <w:t xml:space="preserve">Стажёрка-исследовательница НУЛ социогуманитарных исследований Севера и Арктики С. Главатских в 2025 году продолжала исследование фразовой энклитики</w:t>
      </w:r>
      <w:r>
        <w:t xml:space="preserve"> </w:t>
      </w:r>
      <w:r>
        <w:rPr>
          <w:i/>
          <w:iCs/>
        </w:rPr>
        <w:t xml:space="preserve">=ta</w:t>
      </w:r>
      <w:r>
        <w:t xml:space="preserve"> </w:t>
      </w:r>
      <w:r>
        <w:t xml:space="preserve">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p>
      <w:pPr>
        <w:pStyle w:val="BodyText"/>
      </w:pPr>
      <w:r>
        <w:t xml:space="preserve">Кроме того, запланирована совместная с В. Гребневой статья, посвящённая описанию функций этой клитики, и совместный с М. Меленченко обзор ТАМ-системы шугнанского языка, который войдёт в состав сборника с рабочим названием «Handbook (Companion) of Shughni Linguistics».</w:t>
      </w:r>
    </w:p>
    <w:bookmarkEnd w:id="170"/>
    <w:bookmarkEnd w:id="171"/>
    <w:bookmarkStart w:id="176" w:name="Xff01527988967cd0ad39cd42bd4d13b0aafce76"/>
    <w:p>
      <w:pPr>
        <w:pStyle w:val="Heading2"/>
      </w:pPr>
      <w:r>
        <w:t xml:space="preserve">2.8 Исследования морфосинтаксиса и семантики именных форм в языках Севера и Арктики</w:t>
      </w:r>
    </w:p>
    <w:bookmarkStart w:id="172" w:name="X94e45bf0dbe489398822c2f5ca63fe4c5492b9d"/>
    <w:p>
      <w:pPr>
        <w:pStyle w:val="Heading3"/>
      </w:pPr>
      <w:r>
        <w:t xml:space="preserve">2.8.1 Эвалютивные суффиксы в быстринском диалекте эвенского языка</w:t>
      </w:r>
    </w:p>
    <w:p>
      <w:pPr>
        <w:pStyle w:val="FirstParagraph"/>
      </w:pPr>
      <w:r>
        <w:t xml:space="preserve">Младший научный сотрудник НУЛ социогуманитарных исследований Севера и Арктики А. О. Бузанов в 2025 году проводил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4"/>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4"/>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знаечение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2"/>
    <w:bookmarkStart w:id="173" w:name="Xaff3a6069caa52f52a7991e622a94d19532906c"/>
    <w:p>
      <w:pPr>
        <w:pStyle w:val="Heading3"/>
      </w:pPr>
      <w:r>
        <w:t xml:space="preserve">2.8.2 Посессивные конструкции и показатели в эвенском, уильтинском, эрзянском языках</w:t>
      </w:r>
    </w:p>
    <w:p>
      <w:pPr>
        <w:pStyle w:val="FirstParagraph"/>
      </w:pPr>
      <w:r>
        <w:t xml:space="preserve">В 2025 году младший научный сотрудник НУЛ социогуманитарных исследований Севера и Арктики А. О. Бузанов занимался подготовкой к публикации статьи, посвящённой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младший научный сотрудник НУЛ социогуманитарных исследований Севера и Арктики А. О. Бузанов совместно с С. Ю. Толдовой опубликовал по результатам проведённого в прошлом году исследования статью «Reflexive Possessives in Tungusic: Comparison of Bystraja Even and Uilta»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5"/>
        </w:numPr>
      </w:pPr>
      <w:r>
        <w:t xml:space="preserve">Двойное маркирование:</w:t>
      </w:r>
    </w:p>
    <w:p>
      <w:pPr>
        <w:pStyle w:val="FirstParagraph"/>
      </w:pPr>
      <w:r>
        <w:t xml:space="preserve">А. Зависимое.GEN + Вершина.DEF/POSS.</w:t>
      </w:r>
    </w:p>
    <w:p>
      <w:pPr>
        <w:pStyle w:val="BodyText"/>
      </w:pPr>
      <w:r>
        <w:t xml:space="preserve">Б. Зависимое.GEN.DEF/POSS + Вершина.DEF/POSS.</w:t>
      </w:r>
    </w:p>
    <w:p>
      <w:pPr>
        <w:pStyle w:val="Compact"/>
        <w:numPr>
          <w:ilvl w:val="0"/>
          <w:numId w:val="1016"/>
        </w:numPr>
      </w:pPr>
      <w:r>
        <w:t xml:space="preserve">Зависимостное маркирование:</w:t>
      </w:r>
    </w:p>
    <w:p>
      <w:pPr>
        <w:pStyle w:val="FirstParagraph"/>
      </w:pPr>
      <w:r>
        <w:t xml:space="preserve">А. Зависимое.GEN + Вершина.</w:t>
      </w:r>
    </w:p>
    <w:p>
      <w:pPr>
        <w:pStyle w:val="BodyText"/>
      </w:pPr>
      <w:r>
        <w:t xml:space="preserve">Б. Зависимое.GEN.DEF/POSS + Вершина.</w:t>
      </w:r>
    </w:p>
    <w:p>
      <w:pPr>
        <w:pStyle w:val="Compact"/>
        <w:numPr>
          <w:ilvl w:val="0"/>
          <w:numId w:val="1017"/>
        </w:numPr>
      </w:pPr>
      <w:r>
        <w:t xml:space="preserve">Соположение:</w:t>
      </w:r>
      <w:r>
        <w:t xml:space="preserve"> </w:t>
      </w:r>
      <w:r>
        <w:t xml:space="preserve">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3"/>
    <w:bookmarkStart w:id="175" w:name="атрибутивизаторы-в-лесном-ненецком-языке"/>
    <w:p>
      <w:pPr>
        <w:pStyle w:val="Heading3"/>
      </w:pPr>
      <w:r>
        <w:t xml:space="preserve">2.8.3 Атрибутивизаторы в лесном ненецком языке</w:t>
      </w:r>
    </w:p>
    <w:p>
      <w:pPr>
        <w:pStyle w:val="FirstParagraph"/>
      </w:pPr>
      <w:r>
        <w:t xml:space="preserve">В 2025 г. стажёрка-исследовательница НУЛ социогуманитарных исследований Севера и Арктики К. Лапшина завершила изучение атрибутивизаторов в лесном ненецком языке. Результаты работы изложены в магистерской диссертации «Attributivizers in Forest Nenets», научный руководитель — И. А. Стенин.</w:t>
      </w:r>
    </w:p>
    <w:p>
      <w:pPr>
        <w:pStyle w:val="BodyText"/>
      </w:pPr>
      <w:r>
        <w:t xml:space="preserve">В работе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1">
        <w:r>
          <w:rPr>
            <w:rStyle w:val="Hyperlink"/>
          </w:rPr>
          <w:t xml:space="preserve">таблица 5.9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4" w:name="tbl-1"/>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4"/>
          <w:p/>
        </w:tc>
      </w:tr>
    </w:tbl>
    <w:p>
      <w:pPr>
        <w:pStyle w:val="BodyText"/>
      </w:pPr>
      <w:r>
        <w:t xml:space="preserve">В работе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работе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Начата работа над статьями по теме магистерской диссертации. 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5"/>
    <w:bookmarkEnd w:id="176"/>
    <w:bookmarkStart w:id="186" w:name="X0aa40968b2416be3afb807aca8bfb9bc253c5f1"/>
    <w:p>
      <w:pPr>
        <w:pStyle w:val="Heading2"/>
      </w:pPr>
      <w:r>
        <w:t xml:space="preserve">2.9 Исследования вариативности, восприятия и форм бытования языка</w:t>
      </w:r>
    </w:p>
    <w:bookmarkStart w:id="177" w:name="Xdc77413b35cd117e24295189b7724cafd7b06df"/>
    <w:p>
      <w:pPr>
        <w:pStyle w:val="Heading3"/>
      </w:pPr>
      <w:r>
        <w:t xml:space="preserve">2.9.1 Диалектная лексическая вариативность в кильдинском саамском языке</w:t>
      </w:r>
    </w:p>
    <w:p>
      <w:pPr>
        <w:pStyle w:val="FirstParagraph"/>
      </w:pPr>
      <w:r>
        <w:t xml:space="preserve">Стажёр-исследователь НУЛ социогуманитарных исследований Севера и Арктики А. Мокеев совместно с младшим научным сотрудником лаборатории А. О. Бузановым в ходе экспедиции в январе-феврале 2024 года собрал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7"/>
    <w:bookmarkStart w:id="178" w:name="X420e66502ee483bea46b3908f3fb02838e74de1"/>
    <w:p>
      <w:pPr>
        <w:pStyle w:val="Heading3"/>
      </w:pPr>
      <w:r>
        <w:t xml:space="preserve">2.9.2 Морфосинтаксические аспекты утраты корякского языка</w:t>
      </w:r>
    </w:p>
    <w:p>
      <w:pPr>
        <w:pStyle w:val="FirstParagraph"/>
      </w:pPr>
      <w:r>
        <w:t xml:space="preserve">В 2025 г. стажёрка-исследовательница НУЛ социогуманитарных исследований Севера и Арктики М. Бровчук изучала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8"/>
    <w:bookmarkStart w:id="179" w:name="X2f798935fff8952489f8a3d668089c5a9ab10aa"/>
    <w:p>
      <w:pPr>
        <w:pStyle w:val="Heading3"/>
      </w:pPr>
      <w:r>
        <w:t xml:space="preserve">2.9.3 Норма и вариативность в орфографиях эвенского языка</w:t>
      </w:r>
    </w:p>
    <w:p>
      <w:pPr>
        <w:pStyle w:val="FirstParagraph"/>
      </w:pPr>
      <w:r>
        <w:t xml:space="preserve">В 2025 г. стажёрка-исследовательница НУЛ социогуманитарных исследований Севера и Арктики Т. Казакова и младший научный сотрудник А. О. Бузанов написали статью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79"/>
    <w:bookmarkStart w:id="180" w:name="X5d59b178be71297703e140c180d8daabdb22060"/>
    <w:p>
      <w:pPr>
        <w:pStyle w:val="Heading3"/>
      </w:pPr>
      <w:r>
        <w:t xml:space="preserve">2.9.4 Типологическое многообразие эхо-вопросов</w:t>
      </w:r>
    </w:p>
    <w:p>
      <w:pPr>
        <w:pStyle w:val="FirstParagraph"/>
      </w:pPr>
      <w:r>
        <w:t xml:space="preserve">В 2025 г. стажёрка-исследовательница НУЛ социогуманитарных исследований Севера и Арктики Т. Симонова провела типологическое исследование эхо-вопросов. В её работе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«Towards a typology of echo-questions» в журнале «Вопросы языкознания» (2025, № 3, с. 7–29).</w:t>
      </w:r>
    </w:p>
    <w:bookmarkEnd w:id="180"/>
    <w:bookmarkStart w:id="181" w:name="Xd1b7c1da870f7557e0ba1e71999dce717b3b990"/>
    <w:p>
      <w:pPr>
        <w:pStyle w:val="Heading3"/>
      </w:pPr>
      <w:r>
        <w:t xml:space="preserve">2.9.5 Восприятие монолингвами слов на русском и чукотском языках</w:t>
      </w:r>
    </w:p>
    <w:p>
      <w:pPr>
        <w:pStyle w:val="FirstParagraph"/>
      </w:pPr>
      <w:r>
        <w:t xml:space="preserve">Заведующая НУЛ социогуманитарных исследований Севера и Арктики И. Зибер совместно с соавторами из Института нейрохирургии им. Бурденко и Института высшей нервной деятельности РАН проводила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1"/>
    <w:bookmarkStart w:id="184" w:name="Xd0dc62b0f995ebf0598befe0be673d784ae827c"/>
    <w:p>
      <w:pPr>
        <w:pStyle w:val="Heading3"/>
      </w:pPr>
      <w:r>
        <w:t xml:space="preserve">2.9.6 Цифровая документация эвенского языка: устные и письменные тексты</w:t>
      </w:r>
    </w:p>
    <w:p>
      <w:pPr>
        <w:pStyle w:val="FirstParagraph"/>
      </w:pPr>
      <w:r>
        <w:t xml:space="preserve">В 2025 г. стажёрка-исследовательница НУЛ социогуманитарных исследований Севера и Арктики Т. Казакова продолжила разработку эвенского морфологического анализатора с использованием конечных преобразовывающих автоматов</w:t>
      </w:r>
      <w:r>
        <w:rPr>
          <w:rStyle w:val="FootnoteReference"/>
        </w:rPr>
        <w:footnoteReference w:id="182"/>
      </w:r>
      <w:r>
        <w:t xml:space="preserve">. Материалы были частично использованы в учебном курсе «Конечные автоматы в морфологическом анализе» для студентов бакалавриата факультета гуманитарных наук.</w:t>
      </w:r>
    </w:p>
    <w:p>
      <w:pPr>
        <w:pStyle w:val="BodyText"/>
      </w:pPr>
      <w:r>
        <w:t xml:space="preserve">Помимо этого, Т. Казакова совместно с младшим научным сотрудником лаборатории А. Бузановым курировала расшифровку устных текстов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вызодила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4"/>
    <w:bookmarkStart w:id="185" w:name="X39394fb2ddab4c2cda53cc2e823b5d4db5ed1ae"/>
    <w:p>
      <w:pPr>
        <w:pStyle w:val="Heading3"/>
      </w:pPr>
      <w:r>
        <w:t xml:space="preserve">2.9.7 Вариативность структур и восприятие поэтического текста</w:t>
      </w:r>
    </w:p>
    <w:p>
      <w:pPr>
        <w:pStyle w:val="FirstParagraph"/>
      </w:pPr>
      <w:r>
        <w:t xml:space="preserve">В 2025 г. стажёрка-исследовательница НУЛ социогуманитарных исследований Севера и Арктики Л. Баркова продолжила развивать стиховедческое направление работы лаборатории. В рамках этого направления она переработала статью «Теневая рифма в поэме В. А. Гандельсмана</w:t>
      </w:r>
      <w:r>
        <w:t xml:space="preserve"> </w:t>
      </w:r>
      <w:r>
        <w:t xml:space="preserve">“Видение”</w:t>
      </w:r>
      <w:r>
        <w:t xml:space="preserve">» и подготовила её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Л. Баркова показала,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Л. Баркова на материале рифм поэмы рассмотрела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Л. Баркова исследовала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Л. Баркова показала, что в поэме «Видение» рифменный домен тоже рассчитывается от последнего ударного гласного. В исследовании рифменного домена исследовательница опиралась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Также Л. Баркова защитила магистерскую диссертацию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Л. Баркова описала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Л. Баркова показала,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Л. Баркова провела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Л. Баркова показала,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Л. Баркова показала, что для диссонансных рифм нет строгого требования к фонетическому сходству инициали ударного слога.</w:t>
      </w:r>
    </w:p>
    <w:p>
      <w:pPr>
        <w:pStyle w:val="BodyText"/>
      </w:pPr>
      <w:r>
        <w:t xml:space="preserve">Л. Баркова выступила с докладом на конференции «Компьютерная лингвистика и корпусные технологии» 3 июня 2025 года. В этом докладе она рассказала о результатах работы над магистерской диссертацией. Также Любовь Баркова в аспирантской школе по филологическим наукам НИУ ВШЭ начала работу над кандидатской диссертацией по теме «Фонетика рифмы в русскоязычной поэзии второй половины XX — начала XXI веков» под руководством И. А. Зибер.</w:t>
      </w:r>
    </w:p>
    <w:p>
      <w:pPr>
        <w:pStyle w:val="BodyText"/>
      </w:pPr>
      <w:r>
        <w:t xml:space="preserve">В 2025 г. стажёрка-исследовательница НУЛ социогуманитарных исследований Севера и Арктики У. Гурова провела под руководством С. А. Слюсарь</w:t>
      </w:r>
      <w:r>
        <w:t xml:space="preserve"> </w:t>
      </w:r>
      <w:r>
        <w:rPr>
          <w:b/>
          <w:bCs/>
        </w:rPr>
        <w:t xml:space="preserve">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5"/>
    <w:bookmarkEnd w:id="186"/>
    <w:bookmarkEnd w:id="187"/>
    <w:bookmarkStart w:id="235"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6"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1"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8"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8"/>
    <w:bookmarkStart w:id="189"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(74,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(75),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9"/>
    <w:bookmarkStart w:id="190"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(76,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0"/>
        </w:numPr>
      </w:pPr>
      <w:r>
        <w:t xml:space="preserve">#</w:t>
      </w:r>
      <w:r>
        <w:rPr>
          <w:i/>
          <w:iCs/>
        </w:rPr>
        <w:t xml:space="preserve">In 1964, every U.S. Senator (then) at Harvard got straight A’s.</w:t>
      </w:r>
    </w:p>
    <w:p>
      <w:pPr>
        <w:pStyle w:val="Compact"/>
        <w:numPr>
          <w:ilvl w:val="0"/>
          <w:numId w:val="1020"/>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(77).</w:t>
      </w:r>
    </w:p>
    <w:p>
      <w:pPr>
        <w:pStyle w:val="BodyText"/>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1"/>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1"/>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0"/>
    <w:bookmarkEnd w:id="191"/>
    <w:bookmarkStart w:id="195" w:name="X1e876c777503139b6f4444f2f50836150306300"/>
    <w:p>
      <w:pPr>
        <w:pStyle w:val="Heading3"/>
      </w:pPr>
      <w:r>
        <w:t xml:space="preserve">3.1.2 Семантика причастия прошедшего времени в кильдинском саамском языке</w:t>
      </w:r>
    </w:p>
    <w:bookmarkStart w:id="192"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(80); будучи в соседстве с отрицанием, она может маркировать коннегатив прошедшего времени (81); а также она встречается в перфекте (82) и плюсквамперфекте (83).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2"/>
    <w:bookmarkStart w:id="193"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(80)–(83) – это семантика предшествования: в (80) событие, маркированное -</w:t>
      </w:r>
      <w:r>
        <w:rPr>
          <w:i/>
          <w:iCs/>
        </w:rPr>
        <w:t xml:space="preserve">(m)a</w:t>
      </w:r>
      <w:r>
        <w:t xml:space="preserve">, предшествует некоторой референциальной точке, заданной матричным предикатом; в (81)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(82) референциальной точкой можно, упрощая, считать момент речи, а в случае плюсквамперфекта (83)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(81)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(78)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(83),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(81)).</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(83),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(84).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(83)).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(85, a) иллюстрирует перфективный, а (85,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BodyText"/>
      </w:pPr>
      <w:r>
        <w:t xml:space="preserve">Мы предлагаем, что -(m)a является упорядочивающим аспектом (тип &lt;it, it&gt;) и вводит отношение предшествования между двумя переменными (86).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(81) не имеют экспериенциального прочтения (87),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(87)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(88)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(87)–(88),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(87)–(88) подкрепляют использование в семантике (86)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(87)–(88)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(88),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(87)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3"/>
    <w:bookmarkStart w:id="194"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(82)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(83), так как мы пока достоверно не знаем детали семантики этой формы.</w:t>
      </w:r>
    </w:p>
    <w:bookmarkEnd w:id="194"/>
    <w:bookmarkEnd w:id="195"/>
    <w:bookmarkEnd w:id="196"/>
    <w:bookmarkStart w:id="203" w:name="X1600cb8b576bb94bed95f1c997684a957b0e727"/>
    <w:p>
      <w:pPr>
        <w:pStyle w:val="Heading2"/>
      </w:pPr>
      <w:r>
        <w:t xml:space="preserve">3.2 Синтаксические передвижения в полипредикации</w:t>
      </w:r>
    </w:p>
    <w:bookmarkStart w:id="197"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7"/>
    <w:bookmarkStart w:id="201"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8" w:name="X9fb5c3bba1b4521d1e7a59759f9416fb1fead3f"/>
    <w:p>
      <w:pPr>
        <w:pStyle w:val="Heading4"/>
      </w:pPr>
      <w:r>
        <w:t xml:space="preserve">3.2.2.1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4"/>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4"/>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8"/>
    <w:bookmarkStart w:id="199"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9"/>
    <w:bookmarkStart w:id="200"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(93)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(94),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(96),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0"/>
    <w:bookmarkEnd w:id="201"/>
    <w:bookmarkStart w:id="202" w:name="заключение-1"/>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2"/>
    <w:bookmarkEnd w:id="203"/>
    <w:bookmarkStart w:id="211"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204"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(100,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5"/>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5"/>
        </w:numPr>
      </w:pPr>
      <w:r>
        <w:t xml:space="preserve">*</w:t>
      </w:r>
      <w:r>
        <w:rPr>
          <w:i/>
          <w:iCs/>
        </w:rPr>
        <w:t xml:space="preserve">Я видел что-либо</w:t>
      </w:r>
      <w:r>
        <w:t xml:space="preserve">.</w:t>
      </w:r>
      <w:r>
        <w:t xml:space="preserve"> </w:t>
      </w:r>
      <w:r>
        <w:t xml:space="preserve">[152, P. (8)]</w:t>
      </w:r>
    </w:p>
    <w:p>
      <w:pPr>
        <w:pStyle w:val="Compact"/>
        <w:numPr>
          <w:ilvl w:val="0"/>
          <w:numId w:val="1025"/>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6"/>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6"/>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(102)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27"/>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27"/>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(100,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(101)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4"/>
    <w:bookmarkStart w:id="205"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BodyText"/>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(104). Напротив, глаголы, предполагающие ирреальность вложенного события или неполную степень его вероятности, сочетаются с дистантным согласованием лучше (105):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(107)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(108)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5"/>
    <w:bookmarkStart w:id="210"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9" w:name="fig-f1"/>
          <w:p>
            <w:pPr>
              <w:pStyle w:val="Compact"/>
              <w:jc w:val="center"/>
            </w:pPr>
            <w:r>
              <w:drawing>
                <wp:inline>
                  <wp:extent cx="5930900" cy="3665110"/>
                  <wp:effectExtent b="0" l="0" r="0" t="0"/>
                  <wp:docPr descr="" title="" id="207" name="Picture"/>
                  <a:graphic>
                    <a:graphicData uri="http://schemas.openxmlformats.org/drawingml/2006/picture">
                      <pic:pic>
                        <pic:nvPicPr>
                          <pic:cNvPr descr="images/formlab_pic1.jpeg" id="208" name="Picture"/>
                          <pic:cNvPicPr>
                            <a:picLocks noChangeArrowheads="1" noChangeAspect="1"/>
                          </pic:cNvPicPr>
                        </pic:nvPicPr>
                        <pic:blipFill>
                          <a:blip r:embed="rId206"/>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9"/>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0"/>
    <w:bookmarkEnd w:id="211"/>
    <w:bookmarkStart w:id="217"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4"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(114) и (115),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212">
        <w:r>
          <w:rPr>
            <w:rStyle w:val="Hyper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BodyText"/>
      </w:pPr>
      <w:r>
        <w:rPr>
          <w:b/>
          <w:bCs/>
        </w:rPr>
        <w:t xml:space="preserve">Эксперимент 1</w:t>
      </w:r>
      <w:r>
        <w:t xml:space="preserve">. Факторы: антецедент(+-адъюнкт), анафор (+-адъюнкт), анафор (+-вложенность)”</w:t>
      </w:r>
    </w:p>
    <w:p>
      <w:pPr>
        <w:pStyle w:val="BodyText"/>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BodyText"/>
      </w:pPr>
      <w:r>
        <w:rPr>
          <w:b/>
          <w:bCs/>
        </w:rPr>
        <w:t xml:space="preserve">Эксперимент 2.</w:t>
      </w:r>
    </w:p>
    <w:p>
      <w:pPr>
        <w:pStyle w:val="BodyText"/>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213" w:name="заключение-2"/>
    <w:p>
      <w:pPr>
        <w:pStyle w:val="Heading4"/>
      </w:pPr>
      <w:r>
        <w:t xml:space="preserve">3.4.1.1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(117)).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3"/>
    <w:bookmarkEnd w:id="214"/>
    <w:bookmarkStart w:id="215"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5"/>
    <w:bookmarkStart w:id="216"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(122),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6"/>
    <w:bookmarkEnd w:id="217"/>
    <w:bookmarkStart w:id="230"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6"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(124,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37"/>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37"/>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37"/>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(124, a), (124, b) и (124,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(125,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w:t>
      </w:r>
      <w:r>
        <w:rPr>
          <w:b/>
          <w:bCs/>
        </w:rPr>
        <w:t xml:space="preserve">garnham2015?</w:t>
      </w:r>
      <w:r>
        <w:t xml:space="preserve">]</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(126,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38"/>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39"/>
        </w:numPr>
      </w:pPr>
      <w:r>
        <w:t xml:space="preserve">*</w:t>
      </w:r>
      <w:r>
        <w:rPr>
          <w:i/>
          <w:iCs/>
        </w:rPr>
        <w:t xml:space="preserve">Интриган былa осторожна в этом вопросе.</w:t>
      </w:r>
    </w:p>
    <w:p>
      <w:pPr>
        <w:pStyle w:val="Compact"/>
        <w:numPr>
          <w:ilvl w:val="0"/>
          <w:numId w:val="1039"/>
        </w:numPr>
      </w:pPr>
      <w:r>
        <w:rPr>
          <w:i/>
          <w:iCs/>
        </w:rPr>
        <w:t xml:space="preserve">Интриганка была осторожна в этом вопросе.</w:t>
      </w:r>
    </w:p>
    <w:p>
      <w:pPr>
        <w:pStyle w:val="Compact"/>
        <w:numPr>
          <w:ilvl w:val="0"/>
          <w:numId w:val="1039"/>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(126,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1" w:name="fig-f2"/>
          <w:p>
            <w:pPr>
              <w:pStyle w:val="Compact"/>
              <w:jc w:val="center"/>
            </w:pPr>
            <w:r>
              <w:drawing>
                <wp:inline>
                  <wp:extent cx="3865557" cy="2256947"/>
                  <wp:effectExtent b="0" l="0" r="0" t="0"/>
                  <wp:docPr descr="" title="" id="219" name="Picture"/>
                  <a:graphic>
                    <a:graphicData uri="http://schemas.openxmlformats.org/drawingml/2006/picture">
                      <pic:pic>
                        <pic:nvPicPr>
                          <pic:cNvPr descr="images/formlab_pic2.png" id="220" name="Picture"/>
                          <pic:cNvPicPr>
                            <a:picLocks noChangeArrowheads="1" noChangeAspect="1"/>
                          </pic:cNvPicPr>
                        </pic:nvPicPr>
                        <pic:blipFill>
                          <a:blip r:embed="rId218"/>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1"/>
        </w:tc>
      </w:tr>
    </w:tbl>
    <w:tbl>
      <w:tblPr>
        <w:tblStyle w:val="Table"/>
        <w:tblW w:type="pct" w:w="5000"/>
        <w:tblLayout w:type="fixed"/>
        <w:tblLook w:firstRow="0" w:lastRow="0" w:firstColumn="0" w:lastColumn="0" w:noHBand="0" w:noVBand="0" w:val="0000"/>
      </w:tblPr>
      <w:tblGrid>
        <w:gridCol w:w="7920"/>
      </w:tblGrid>
      <w:tr>
        <w:tc>
          <w:tcPr/>
          <w:bookmarkStart w:id="225" w:name="fig-f3"/>
          <w:p>
            <w:pPr>
              <w:pStyle w:val="Compact"/>
              <w:jc w:val="center"/>
            </w:pPr>
            <w:r>
              <w:drawing>
                <wp:inline>
                  <wp:extent cx="3852672" cy="2322576"/>
                  <wp:effectExtent b="0" l="0" r="0" t="0"/>
                  <wp:docPr descr="" title="" id="223" name="Picture"/>
                  <a:graphic>
                    <a:graphicData uri="http://schemas.openxmlformats.org/drawingml/2006/picture">
                      <pic:pic>
                        <pic:nvPicPr>
                          <pic:cNvPr descr="images/formlab_pic3.jpg" id="224" name="Picture"/>
                          <pic:cNvPicPr>
                            <a:picLocks noChangeArrowheads="1" noChangeAspect="1"/>
                          </pic:cNvPicPr>
                        </pic:nvPicPr>
                        <pic:blipFill>
                          <a:blip r:embed="rId222"/>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5"/>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6"/>
    <w:bookmarkStart w:id="228"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7">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(129),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28"/>
    <w:bookmarkStart w:id="229"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[181]</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[182; 183]</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(130)–(131).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[181]</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[181]</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29"/>
    <w:bookmarkEnd w:id="230"/>
    <w:bookmarkStart w:id="233"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31">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[184]</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[185]</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w:t>
      </w:r>
      <w:r>
        <w:rPr>
          <w:b/>
          <w:bCs/>
        </w:rPr>
        <w:t xml:space="preserve">toldova2023?</w:t>
      </w:r>
      <w:r>
        <w:t xml:space="preserve">]</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32">
        <w:r>
          <w:rPr>
            <w:rStyle w:val="Hyperlink"/>
          </w:rPr>
          <w:t xml:space="preserve">https://lingformlab.ru/</w:t>
        </w:r>
      </w:hyperlink>
      <w:r>
        <w:t xml:space="preserve">).</w:t>
      </w:r>
    </w:p>
    <w:bookmarkEnd w:id="233"/>
    <w:bookmarkStart w:id="234" w:name="заключение-3"/>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34"/>
    <w:bookmarkEnd w:id="235"/>
    <w:bookmarkStart w:id="240"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36"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[186: 343–344; ср. 187]</w:t>
      </w:r>
      <w:r>
        <w:t xml:space="preserve"> </w:t>
      </w:r>
      <w:r>
        <w:t xml:space="preserve">и, следовательно, «все, что существует, непрерывно»</w:t>
      </w:r>
      <w:r>
        <w:t xml:space="preserve"> </w:t>
      </w:r>
      <w:r>
        <w:t xml:space="preserve">[188: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[189: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[190: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[191–193]</w:t>
      </w:r>
      <w:r>
        <w:t xml:space="preserve"> </w:t>
      </w:r>
      <w:r>
        <w:t xml:space="preserve">и, следовательно, ретродуктивное рассуждение (абдукцию) Ч.-С. Пирса</w:t>
      </w:r>
      <w:r>
        <w:t xml:space="preserve"> </w:t>
      </w:r>
      <w:r>
        <w:t xml:space="preserve">[194]</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[188: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[195; 196]</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[197]</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[198]</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[199]</w:t>
      </w:r>
      <w:r>
        <w:t xml:space="preserve">; также см.</w:t>
      </w:r>
      <w:r>
        <w:t xml:space="preserve"> </w:t>
      </w:r>
      <w:r>
        <w:t xml:space="preserve">[200]</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[188: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[201: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36"/>
    <w:bookmarkStart w:id="237"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[202: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[203]</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[202: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[204: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[204: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[204: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[204: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[202: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[205: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[206]</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[207–210]</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[211]</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40"/>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[212]</w:t>
      </w:r>
      <w:r>
        <w:t xml:space="preserve">). Против возможности такого понимания и нацелен скептический аргумент.</w:t>
      </w:r>
    </w:p>
    <w:p>
      <w:pPr>
        <w:pStyle w:val="Compact"/>
        <w:numPr>
          <w:ilvl w:val="0"/>
          <w:numId w:val="1040"/>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40"/>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[213]</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37"/>
    <w:bookmarkStart w:id="238"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[214]</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[215]</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[214: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[214: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[216: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[217]</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38"/>
    <w:bookmarkStart w:id="239"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[218–221]</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41"/>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41"/>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41"/>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[222]</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[223; 224]</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(139) и вложенную конструкцию в (138)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(140, 141):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(137)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[225–227]</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[228]</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2"/>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2"/>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[229]</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[230]</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[229]</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[223]</w:t>
      </w:r>
      <w:r>
        <w:t xml:space="preserve"> </w:t>
      </w:r>
      <w:r>
        <w:t xml:space="preserve">эта гипотеза проверялась при помощи теста: после слифта (144) или стандартной вложенной конструкции (145)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[223]</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(146, 147, 148)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[231]</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[231: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[229]</w:t>
      </w:r>
      <w:r>
        <w:t xml:space="preserve"> </w:t>
      </w:r>
      <w:r>
        <w:t xml:space="preserve">и ассерций</w:t>
      </w:r>
      <w:r>
        <w:t xml:space="preserve"> </w:t>
      </w:r>
      <w:r>
        <w:t xml:space="preserve">[232]</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[233–241]</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[235; 239; 240]</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(149)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(150)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[242; 243]</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[244]</w:t>
      </w:r>
      <w:r>
        <w:t xml:space="preserve">; другие говорят о некоторой его степени</w:t>
      </w:r>
      <w:r>
        <w:t xml:space="preserve"> </w:t>
      </w:r>
      <w:r>
        <w:t xml:space="preserve">[245–247]</w:t>
      </w:r>
      <w:r>
        <w:t xml:space="preserve">; есть варианты анализа эвиденцальных конструкций, которые подразумевают полный коммитмент говорящего</w:t>
      </w:r>
      <w:r>
        <w:t xml:space="preserve"> </w:t>
      </w:r>
      <w:r>
        <w:t xml:space="preserve">[248–250]</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[250]</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(154)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(154)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[251]</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[245; 252; 253]</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(155)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[226]</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3"/>
        </w:numPr>
      </w:pPr>
      <w:r>
        <w:t xml:space="preserve">QUD: Кто не спал прошлой ночью?</w:t>
      </w:r>
    </w:p>
    <w:p>
      <w:pPr>
        <w:pStyle w:val="Compact"/>
        <w:numPr>
          <w:ilvl w:val="0"/>
          <w:numId w:val="1044"/>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[254]</w:t>
      </w:r>
      <w:r>
        <w:t xml:space="preserve">.</w:t>
      </w:r>
    </w:p>
    <w:p>
      <w:pPr>
        <w:pStyle w:val="BodyText"/>
      </w:pPr>
      <w:r>
        <w:t xml:space="preserve">С опорой на аналогичный анализ для болгарского языка</w:t>
      </w:r>
      <w:r>
        <w:t xml:space="preserve"> </w:t>
      </w:r>
      <w:r>
        <w:t xml:space="preserve">[250]</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5"/>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5"/>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(160). Данная пропозиция анализируется так же, как и в случае с (159),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39"/>
    <w:bookmarkEnd w:id="240"/>
    <w:bookmarkStart w:id="374" w:name="корпусная-и-компьютерная-лингвистика"/>
    <w:p>
      <w:pPr>
        <w:pStyle w:val="Heading1"/>
      </w:pPr>
      <w:r>
        <w:t xml:space="preserve">5. Корпусная и компьютерная лингвистика</w:t>
      </w:r>
    </w:p>
    <w:bookmarkStart w:id="270"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41"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41"/>
    <w:bookmarkStart w:id="252"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[255]</w:t>
      </w:r>
      <w:r>
        <w:t xml:space="preserve">. В типологических атласах, включая ставший стандартом Всемирный атлас языковых структур WALS</w:t>
      </w:r>
      <w:r>
        <w:t xml:space="preserve"> </w:t>
      </w:r>
      <w:r>
        <w:t xml:space="preserve">[256]</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[257]</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[258]</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[255; 259]</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5" w:name="fig-10"/>
          <w:p>
            <w:pPr>
              <w:pStyle w:val="Compact"/>
              <w:jc w:val="center"/>
            </w:pPr>
            <w:r>
              <w:drawing>
                <wp:inline>
                  <wp:extent cx="5930900" cy="4023914"/>
                  <wp:effectExtent b="0" l="0" r="0" t="0"/>
                  <wp:docPr descr="" title="" id="243" name="Picture"/>
                  <a:graphic>
                    <a:graphicData uri="http://schemas.openxmlformats.org/drawingml/2006/picture">
                      <pic:pic>
                        <pic:nvPicPr>
                          <pic:cNvPr descr="images/conlab_04_01.jpeg" id="244" name="Picture"/>
                          <pic:cNvPicPr>
                            <a:picLocks noChangeArrowheads="1" noChangeAspect="1"/>
                          </pic:cNvPicPr>
                        </pic:nvPicPr>
                        <pic:blipFill>
                          <a:blip r:embed="rId242"/>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[260]</w:t>
            </w:r>
            <w:r>
              <w:t xml:space="preserve">.</w:t>
            </w:r>
          </w:p>
          <w:bookmarkEnd w:id="245"/>
        </w:tc>
      </w:tr>
    </w:tbl>
    <w:tbl>
      <w:tblPr>
        <w:tblStyle w:val="Table"/>
        <w:tblW w:type="pct" w:w="5000"/>
        <w:tblLayout w:type="fixed"/>
        <w:tblLook w:firstRow="0" w:lastRow="0" w:firstColumn="0" w:lastColumn="0" w:noHBand="0" w:noVBand="0" w:val="0000"/>
      </w:tblPr>
      <w:tblGrid>
        <w:gridCol w:w="7920"/>
      </w:tblGrid>
      <w:tr>
        <w:tc>
          <w:tcPr/>
          <w:bookmarkStart w:id="249" w:name="fig-11"/>
          <w:p>
            <w:pPr>
              <w:pStyle w:val="Compact"/>
              <w:jc w:val="center"/>
            </w:pPr>
            <w:r>
              <w:drawing>
                <wp:inline>
                  <wp:extent cx="5930900" cy="3819202"/>
                  <wp:effectExtent b="0" l="0" r="0" t="0"/>
                  <wp:docPr descr="" title="" id="247" name="Picture"/>
                  <a:graphic>
                    <a:graphicData uri="http://schemas.openxmlformats.org/drawingml/2006/picture">
                      <pic:pic>
                        <pic:nvPicPr>
                          <pic:cNvPr descr="images/conlab_04_02.jpeg" id="248" name="Picture"/>
                          <pic:cNvPicPr>
                            <a:picLocks noChangeArrowheads="1" noChangeAspect="1"/>
                          </pic:cNvPicPr>
                        </pic:nvPicPr>
                        <pic:blipFill>
                          <a:blip r:embed="rId246"/>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[260]</w:t>
            </w:r>
            <w:r>
              <w:t xml:space="preserve">.</w:t>
            </w:r>
          </w:p>
          <w:bookmarkEnd w:id="249"/>
        </w:tc>
      </w:tr>
    </w:tbl>
    <w:bookmarkStart w:id="250"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[261]</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[262]</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[263]</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[263]</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[264]</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[263]</w:t>
      </w:r>
      <w:r>
        <w:t xml:space="preserve">.</w:t>
      </w:r>
    </w:p>
    <w:bookmarkEnd w:id="250"/>
    <w:bookmarkStart w:id="251"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[265]</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[261]</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51"/>
    <w:bookmarkEnd w:id="252"/>
    <w:bookmarkStart w:id="268" w:name="результаты-1"/>
    <w:p>
      <w:pPr>
        <w:pStyle w:val="Heading3"/>
      </w:pPr>
      <w:r>
        <w:t xml:space="preserve">5.1.3 Результаты</w:t>
      </w:r>
    </w:p>
    <w:bookmarkStart w:id="253"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3"/>
    <w:bookmarkStart w:id="254"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4"/>
    <w:bookmarkStart w:id="267"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58" w:name="fig-12"/>
          <w:p>
            <w:pPr>
              <w:pStyle w:val="Compact"/>
              <w:jc w:val="center"/>
            </w:pPr>
            <w:r>
              <w:drawing>
                <wp:inline>
                  <wp:extent cx="5930900" cy="4448175"/>
                  <wp:effectExtent b="0" l="0" r="0" t="0"/>
                  <wp:docPr descr="" title="" id="256" name="Picture"/>
                  <a:graphic>
                    <a:graphicData uri="http://schemas.openxmlformats.org/drawingml/2006/picture">
                      <pic:pic>
                        <pic:nvPicPr>
                          <pic:cNvPr descr="images/conlab_04_03.png" id="257" name="Picture"/>
                          <pic:cNvPicPr>
                            <a:picLocks noChangeArrowheads="1" noChangeAspect="1"/>
                          </pic:cNvPicPr>
                        </pic:nvPicPr>
                        <pic:blipFill>
                          <a:blip r:embed="rId255"/>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58"/>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[260]</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2" w:name="fig-13"/>
          <w:p>
            <w:pPr>
              <w:pStyle w:val="Compact"/>
              <w:jc w:val="center"/>
            </w:pPr>
            <w:r>
              <w:drawing>
                <wp:inline>
                  <wp:extent cx="5930900" cy="4448175"/>
                  <wp:effectExtent b="0" l="0" r="0" t="0"/>
                  <wp:docPr descr="" title="" id="260" name="Picture"/>
                  <a:graphic>
                    <a:graphicData uri="http://schemas.openxmlformats.org/drawingml/2006/picture">
                      <pic:pic>
                        <pic:nvPicPr>
                          <pic:cNvPr descr="images/conlab_04_04.png" id="261" name="Picture"/>
                          <pic:cNvPicPr>
                            <a:picLocks noChangeArrowheads="1" noChangeAspect="1"/>
                          </pic:cNvPicPr>
                        </pic:nvPicPr>
                        <pic:blipFill>
                          <a:blip r:embed="rId25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[260]</w:t>
            </w:r>
            <w:r>
              <w:t xml:space="preserve">.</w:t>
            </w:r>
          </w:p>
          <w:bookmarkEnd w:id="262"/>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[266]</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6" w:name="fig-14"/>
          <w:p>
            <w:pPr>
              <w:pStyle w:val="Compact"/>
              <w:jc w:val="center"/>
            </w:pPr>
            <w:r>
              <w:drawing>
                <wp:inline>
                  <wp:extent cx="5930900" cy="4448175"/>
                  <wp:effectExtent b="0" l="0" r="0" t="0"/>
                  <wp:docPr descr="" title="" id="264" name="Picture"/>
                  <a:graphic>
                    <a:graphicData uri="http://schemas.openxmlformats.org/drawingml/2006/picture">
                      <pic:pic>
                        <pic:nvPicPr>
                          <pic:cNvPr descr="images/conlab_04_05.png" id="265" name="Picture"/>
                          <pic:cNvPicPr>
                            <a:picLocks noChangeArrowheads="1" noChangeAspect="1"/>
                          </pic:cNvPicPr>
                        </pic:nvPicPr>
                        <pic:blipFill>
                          <a:blip r:embed="rId26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[266]</w:t>
            </w:r>
            <w:r>
              <w:t xml:space="preserve">.</w:t>
            </w:r>
          </w:p>
          <w:bookmarkEnd w:id="266"/>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7"/>
    <w:bookmarkEnd w:id="268"/>
    <w:bookmarkStart w:id="269" w:name="заключение-4"/>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69"/>
    <w:bookmarkEnd w:id="270"/>
    <w:bookmarkStart w:id="300"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7"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71"/>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[267–269]</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2"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2"/>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6" w:name="fig-corp1"/>
          <w:p>
            <w:pPr>
              <w:pStyle w:val="Compact"/>
              <w:jc w:val="center"/>
            </w:pPr>
            <w:r>
              <w:drawing>
                <wp:inline>
                  <wp:extent cx="4876800" cy="3572255"/>
                  <wp:effectExtent b="0" l="0" r="0" t="0"/>
                  <wp:docPr descr="" title="" id="274" name="Picture"/>
                  <a:graphic>
                    <a:graphicData uri="http://schemas.openxmlformats.org/drawingml/2006/picture">
                      <pic:pic>
                        <pic:nvPicPr>
                          <pic:cNvPr descr="images/corp_photo_1.jpg" id="275" name="Picture"/>
                          <pic:cNvPicPr>
                            <a:picLocks noChangeArrowheads="1" noChangeAspect="1"/>
                          </pic:cNvPicPr>
                        </pic:nvPicPr>
                        <pic:blipFill>
                          <a:blip r:embed="rId273"/>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76"/>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7"/>
    <w:bookmarkStart w:id="279"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[270]</w:t>
      </w:r>
      <w:r>
        <w:t xml:space="preserve"> </w:t>
      </w:r>
      <w:r>
        <w:t xml:space="preserve">и Сельсе-Мурсия и Ларсен-Фриман</w:t>
      </w:r>
      <w:r>
        <w:t xml:space="preserve"> </w:t>
      </w:r>
      <w:r>
        <w:t xml:space="preserve">[271]</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[272; 273]</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[274; 275]</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[276; 277]</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78"/>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[278]</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[274]</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[270]</w:t>
      </w:r>
      <w:r>
        <w:t xml:space="preserve">, но подтверждает тезис Моралло</w:t>
      </w:r>
      <w:r>
        <w:t xml:space="preserve"> </w:t>
      </w:r>
      <w:r>
        <w:t xml:space="preserve">[279]</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[280]</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[272]</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[281]</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79"/>
    <w:bookmarkStart w:id="287" w:name="X212a772deab2311e0b9c635f15501622014afac"/>
    <w:p>
      <w:pPr>
        <w:pStyle w:val="Heading3"/>
      </w:pPr>
      <w:r>
        <w:t xml:space="preserve">5.2.3 Новые корпусы и авторская позиция в текстах, сгенерированных ИИ (Туляков Д.С.)</w:t>
      </w:r>
    </w:p>
    <w:bookmarkStart w:id="280"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80"/>
    <w:bookmarkStart w:id="286"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[282]</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[282]</w:t>
      </w:r>
      <w:r>
        <w:t xml:space="preserve">, прикладной лингвистики</w:t>
      </w:r>
      <w:r>
        <w:t xml:space="preserve"> </w:t>
      </w:r>
      <w:r>
        <w:t xml:space="preserve">[283; 284]</w:t>
      </w:r>
      <w:r>
        <w:t xml:space="preserve">, биомедицинских наук</w:t>
      </w:r>
      <w:r>
        <w:t xml:space="preserve"> </w:t>
      </w:r>
      <w:r>
        <w:t xml:space="preserve">[285]</w:t>
      </w:r>
      <w:r>
        <w:t xml:space="preserve">, – так и в академии в целом</w:t>
      </w:r>
      <w:r>
        <w:t xml:space="preserve"> </w:t>
      </w:r>
      <w:r>
        <w:t xml:space="preserve">[286; 287]</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[288]</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[289; 290]</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[283]</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[285; 287]</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[270]</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[291]</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[270]</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81"/>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[270]</w:t>
      </w:r>
      <w:r>
        <w:t xml:space="preserve">.</w:t>
      </w:r>
    </w:p>
    <w:p>
      <w:pPr>
        <w:pStyle w:val="BodyText"/>
      </w:pPr>
      <w:r>
        <w:t xml:space="preserve">Для расширения списка были учтены дополнительные исследования</w:t>
      </w:r>
      <w:r>
        <w:t xml:space="preserve"> </w:t>
      </w:r>
      <w:r>
        <w:t xml:space="preserve">[291]</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2"/>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3"/>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4"/>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5"/>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6"/>
    <w:bookmarkEnd w:id="287"/>
    <w:bookmarkStart w:id="292"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288"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[292]</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6"/>
        </w:numPr>
      </w:pPr>
      <w:r>
        <w:t xml:space="preserve">Как используются и распространены методы убеждения в англоязычных пропагандистских текстах?</w:t>
      </w:r>
    </w:p>
    <w:p>
      <w:pPr>
        <w:pStyle w:val="Compact"/>
        <w:numPr>
          <w:ilvl w:val="0"/>
          <w:numId w:val="1046"/>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[293]</w:t>
      </w:r>
      <w:r>
        <w:t xml:space="preserve">, которая была успешно применена в работе Да Сан Мартино и др.</w:t>
      </w:r>
      <w:r>
        <w:t xml:space="preserve"> </w:t>
      </w:r>
      <w:r>
        <w:t xml:space="preserve">[294]</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88"/>
    <w:bookmarkStart w:id="289"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[295: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[295: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[296]</w:t>
      </w:r>
      <w:r>
        <w:t xml:space="preserve">, призванный удовлетворить потребности как убеждающего, так и убеждаемого</w:t>
      </w:r>
      <w:r>
        <w:t xml:space="preserve"> </w:t>
      </w:r>
      <w:r>
        <w:t xml:space="preserve">[297: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[296]</w:t>
      </w:r>
      <w:r>
        <w:t xml:space="preserve">, используя языковые и коммуникативные ресурсы</w:t>
      </w:r>
      <w:r>
        <w:t xml:space="preserve"> </w:t>
      </w:r>
      <w:r>
        <w:t xml:space="preserve">[298: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[299]</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[297: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[300]</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[301]</w:t>
      </w:r>
      <w:r>
        <w:t xml:space="preserve">;</w:t>
      </w:r>
      <w:r>
        <w:t xml:space="preserve"> </w:t>
      </w:r>
      <w:r>
        <w:t xml:space="preserve">[302]</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[296: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[303: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[304]</w:t>
      </w:r>
      <w:r>
        <w:t xml:space="preserve">, заключается в их огромной убедительной и эмоциональной силе в (политическом) дискурсе</w:t>
      </w:r>
      <w:r>
        <w:t xml:space="preserve"> </w:t>
      </w:r>
      <w:r>
        <w:t xml:space="preserve">[305]</w:t>
      </w:r>
      <w:r>
        <w:t xml:space="preserve">. Более того, по мнению Клариджа</w:t>
      </w:r>
      <w:r>
        <w:t xml:space="preserve"> </w:t>
      </w:r>
      <w:r>
        <w:t xml:space="preserve">[306: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[306: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[294: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89"/>
    <w:bookmarkStart w:id="290"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[292]</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[251]</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[270]</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90"/>
    <w:bookmarkStart w:id="291"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[293]</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[307: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[303: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[293]</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[293]</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[270]</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[294]</w:t>
      </w:r>
      <w:r>
        <w:t xml:space="preserve">, концепция убеждения, разработанная Пискорским и др.</w:t>
      </w:r>
      <w:r>
        <w:t xml:space="preserve"> </w:t>
      </w:r>
      <w:r>
        <w:t xml:space="preserve">[293]</w:t>
      </w:r>
      <w:r>
        <w:t xml:space="preserve">, оказалась столь полезной для нашего лингвистического исследования и его распространения на прагматические исследования.</w:t>
      </w:r>
    </w:p>
    <w:bookmarkEnd w:id="291"/>
    <w:bookmarkEnd w:id="292"/>
    <w:bookmarkStart w:id="293"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47"/>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47"/>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48"/>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48"/>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48"/>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48"/>
        </w:numPr>
      </w:pPr>
      <w:r>
        <w:t xml:space="preserve">Изображения протестных демонстраций и активизма, например, активистов и митингов;</w:t>
      </w:r>
    </w:p>
    <w:p>
      <w:pPr>
        <w:pStyle w:val="Compact"/>
        <w:numPr>
          <w:ilvl w:val="0"/>
          <w:numId w:val="1048"/>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3"/>
    <w:bookmarkStart w:id="294"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[308; 309: 2; 310]</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[311]</w:t>
      </w:r>
      <w:r>
        <w:t xml:space="preserve">, мы провели дообучение модели-детектора ошибок на основе архитектуры ELECTRA</w:t>
      </w:r>
      <w:r>
        <w:t xml:space="preserve"> </w:t>
      </w:r>
      <w:r>
        <w:t xml:space="preserve">[312]</w:t>
      </w:r>
      <w:r>
        <w:t xml:space="preserve"> </w:t>
      </w:r>
      <w:r>
        <w:t xml:space="preserve">и использовали ее вывод для дообучения модели-корректора T5</w:t>
      </w:r>
      <w:r>
        <w:t xml:space="preserve"> </w:t>
      </w:r>
      <w:r>
        <w:t xml:space="preserve">[313]</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[314]</w:t>
      </w:r>
      <w:r>
        <w:t xml:space="preserve">. Для дообучения мы использовали два варианта корпуса англоязычных учебных текстов REALEC</w:t>
      </w:r>
      <w:r>
        <w:t xml:space="preserve"> </w:t>
      </w:r>
      <w:r>
        <w:t xml:space="preserve">[315]</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[316]</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[311]</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[317]</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4"/>
    <w:bookmarkStart w:id="299"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fig-corp2"/>
          <w:p>
            <w:pPr>
              <w:pStyle w:val="Compact"/>
              <w:jc w:val="center"/>
            </w:pPr>
            <w:r>
              <w:drawing>
                <wp:inline>
                  <wp:extent cx="5930900" cy="5930900"/>
                  <wp:effectExtent b="0" l="0" r="0" t="0"/>
                  <wp:docPr descr="" title="" id="296" name="Picture"/>
                  <a:graphic>
                    <a:graphicData uri="http://schemas.openxmlformats.org/drawingml/2006/picture">
                      <pic:pic>
                        <pic:nvPicPr>
                          <pic:cNvPr descr="images/corp_photo_2.png" id="297" name="Picture"/>
                          <pic:cNvPicPr>
                            <a:picLocks noChangeArrowheads="1" noChangeAspect="1"/>
                          </pic:cNvPicPr>
                        </pic:nvPicPr>
                        <pic:blipFill>
                          <a:blip r:embed="rId29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[318, рис. 8]</w:t>
            </w:r>
            <w:r>
              <w:t xml:space="preserve"> </w:t>
            </w:r>
            <w:r>
              <w:t xml:space="preserve">(данные взяты из https://github.com/typometrics/djangotypometrics/blob/master/sud-treebanks-v2.11-analysis/head_initiality.tsv)</w:t>
            </w:r>
          </w:p>
          <w:bookmarkEnd w:id="298"/>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299"/>
    <w:bookmarkEnd w:id="300"/>
    <w:bookmarkStart w:id="312" w:name="X5a726eee2834f2862dc7a740d348203633ad9b4"/>
    <w:p>
      <w:pPr>
        <w:pStyle w:val="Heading2"/>
      </w:pPr>
      <w:r>
        <w:t xml:space="preserve">5.3 Конвергентные процессы в синтетической и естественной речи</w:t>
      </w:r>
    </w:p>
    <w:bookmarkStart w:id="311"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06"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[319]</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01"/>
      </w:r>
      <w:r>
        <w:t xml:space="preserve">. VLM представляют собой класс мультимодальных моделей на основе технологии Transformers</w:t>
      </w:r>
      <w:r>
        <w:t xml:space="preserve"> </w:t>
      </w:r>
      <w:r>
        <w:t xml:space="preserve">[320]</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5" w:name="fig-spb_1"/>
          <w:p>
            <w:pPr>
              <w:pStyle w:val="Compact"/>
              <w:jc w:val="center"/>
            </w:pPr>
            <w:r>
              <w:drawing>
                <wp:inline>
                  <wp:extent cx="5930900" cy="3528585"/>
                  <wp:effectExtent b="0" l="0" r="0" t="0"/>
                  <wp:docPr descr="" title="" id="303" name="Picture"/>
                  <a:graphic>
                    <a:graphicData uri="http://schemas.openxmlformats.org/drawingml/2006/picture">
                      <pic:pic>
                        <pic:nvPicPr>
                          <pic:cNvPr descr="images/spb_conlab_0.jpg" id="304" name="Picture"/>
                          <pic:cNvPicPr>
                            <a:picLocks noChangeArrowheads="1" noChangeAspect="1"/>
                          </pic:cNvPicPr>
                        </pic:nvPicPr>
                        <pic:blipFill>
                          <a:blip r:embed="rId302"/>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05"/>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49"/>
        </w:numPr>
      </w:pPr>
      <w:r>
        <w:t xml:space="preserve">Колмогорова Анастасия Владимировна (заведующий Лабораторией языковой конвергенции);</w:t>
      </w:r>
    </w:p>
    <w:p>
      <w:pPr>
        <w:pStyle w:val="Compact"/>
        <w:numPr>
          <w:ilvl w:val="0"/>
          <w:numId w:val="1049"/>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50"/>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51"/>
        </w:numPr>
      </w:pPr>
      <w:r>
        <w:t xml:space="preserve">Набор файлов в формате .json, содержащих официальные метаданные картин;</w:t>
      </w:r>
    </w:p>
    <w:p>
      <w:pPr>
        <w:pStyle w:val="Compact"/>
        <w:numPr>
          <w:ilvl w:val="0"/>
          <w:numId w:val="1051"/>
        </w:numPr>
      </w:pPr>
      <w:r>
        <w:t xml:space="preserve">Набор файлов в формате .txt, содержащих текстовые описания, сгенерированные искусственным интеллектом и респондентами.</w:t>
      </w:r>
    </w:p>
    <w:bookmarkEnd w:id="306"/>
    <w:bookmarkStart w:id="310"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[321]</w:t>
      </w:r>
      <w:r>
        <w:t xml:space="preserve">. Эксперимент включал в себя несколько этапов:</w:t>
      </w:r>
    </w:p>
    <w:p>
      <w:pPr>
        <w:pStyle w:val="Compact"/>
        <w:numPr>
          <w:ilvl w:val="0"/>
          <w:numId w:val="1052"/>
        </w:numPr>
      </w:pPr>
      <w:r>
        <w:t xml:space="preserve">Формирование сбалансированной выборки из Корпуса русского рассказа;</w:t>
      </w:r>
    </w:p>
    <w:p>
      <w:pPr>
        <w:pStyle w:val="Compact"/>
        <w:numPr>
          <w:ilvl w:val="0"/>
          <w:numId w:val="1052"/>
        </w:numPr>
      </w:pPr>
      <w:r>
        <w:t xml:space="preserve">Суммаризация избранных документов;</w:t>
      </w:r>
    </w:p>
    <w:p>
      <w:pPr>
        <w:pStyle w:val="Compact"/>
        <w:numPr>
          <w:ilvl w:val="0"/>
          <w:numId w:val="1052"/>
        </w:numPr>
      </w:pPr>
      <w:r>
        <w:t xml:space="preserve">Автоматическая оценка результатов моделей;</w:t>
      </w:r>
    </w:p>
    <w:p>
      <w:pPr>
        <w:pStyle w:val="Compact"/>
        <w:numPr>
          <w:ilvl w:val="0"/>
          <w:numId w:val="1052"/>
        </w:numPr>
      </w:pPr>
      <w:r>
        <w:t xml:space="preserve">Экспертная оценка результатов моделей и структурной сложности исходных текстов;</w:t>
      </w:r>
    </w:p>
    <w:p>
      <w:pPr>
        <w:pStyle w:val="Compact"/>
        <w:numPr>
          <w:ilvl w:val="0"/>
          <w:numId w:val="1052"/>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[322]</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[323]</w:t>
      </w:r>
      <w:r>
        <w:t xml:space="preserve">, BLEU</w:t>
      </w:r>
      <w:r>
        <w:t xml:space="preserve"> </w:t>
      </w:r>
      <w:r>
        <w:t xml:space="preserve">[324]</w:t>
      </w:r>
      <w:r>
        <w:t xml:space="preserve"> </w:t>
      </w:r>
      <w:r>
        <w:t xml:space="preserve">и BERTScore</w:t>
      </w:r>
      <w:r>
        <w:t xml:space="preserve"> </w:t>
      </w:r>
      <w:r>
        <w:t xml:space="preserve">[325]</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7"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7"/>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3"/>
        </w:numPr>
      </w:pPr>
      <w:r>
        <w:t xml:space="preserve">Охват (coverage) — упоминание важных сюжетных точек, метрика оценивает смысловую составляющую;</w:t>
      </w:r>
    </w:p>
    <w:p>
      <w:pPr>
        <w:pStyle w:val="Compact"/>
        <w:numPr>
          <w:ilvl w:val="0"/>
          <w:numId w:val="1053"/>
        </w:numPr>
      </w:pPr>
      <w:r>
        <w:t xml:space="preserve">Достоверность (faithfulness) — наличие несуществующих в исходном тексте деталей или искажение истории;</w:t>
      </w:r>
    </w:p>
    <w:p>
      <w:pPr>
        <w:pStyle w:val="Compact"/>
        <w:numPr>
          <w:ilvl w:val="0"/>
          <w:numId w:val="1053"/>
        </w:numPr>
      </w:pPr>
      <w:r>
        <w:t xml:space="preserve">Связность (coherence) текста;</w:t>
      </w:r>
    </w:p>
    <w:p>
      <w:pPr>
        <w:pStyle w:val="Compact"/>
        <w:numPr>
          <w:ilvl w:val="0"/>
          <w:numId w:val="1053"/>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08"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08"/>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09"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09"/>
          <w:p/>
        </w:tc>
      </w:tr>
    </w:tbl>
    <w:p>
      <w:pPr>
        <w:pStyle w:val="BodyText"/>
      </w:pPr>
      <w:r>
        <w:t xml:space="preserve">Корреляционный анализ позволяет сделать следующие выводы:</w:t>
      </w:r>
    </w:p>
    <w:p>
      <w:pPr>
        <w:pStyle w:val="Compact"/>
        <w:numPr>
          <w:ilvl w:val="0"/>
          <w:numId w:val="1054"/>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4"/>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4"/>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4"/>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4"/>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4"/>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4"/>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10"/>
    <w:bookmarkEnd w:id="311"/>
    <w:bookmarkEnd w:id="312"/>
    <w:bookmarkStart w:id="360"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13"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[326]</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[327]</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[328]</w:t>
      </w:r>
      <w:r>
        <w:t xml:space="preserve">), для диаризации выбрана pyannote</w:t>
      </w:r>
      <w:r>
        <w:t xml:space="preserve"> </w:t>
      </w:r>
      <w:r>
        <w:t xml:space="preserve">[329]</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13"/>
    <w:bookmarkStart w:id="316"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4"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4"/>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[330–332]</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[333]</w:t>
      </w:r>
      <w:r>
        <w:t xml:space="preserve">, SaluteSpeech</w:t>
      </w:r>
      <w:r>
        <w:t xml:space="preserve"> </w:t>
      </w:r>
      <w:r>
        <w:t xml:space="preserve">[334]</w:t>
      </w:r>
      <w:r>
        <w:t xml:space="preserve"> </w:t>
      </w:r>
      <w:r>
        <w:t xml:space="preserve">(приложение для компьютера), Shopot</w:t>
      </w:r>
      <w:r>
        <w:t xml:space="preserve"> </w:t>
      </w:r>
      <w:r>
        <w:t xml:space="preserve">[335]</w:t>
      </w:r>
      <w:r>
        <w:t xml:space="preserve">, T-bank</w:t>
      </w:r>
      <w:r>
        <w:t xml:space="preserve"> </w:t>
      </w:r>
      <w:r>
        <w:t xml:space="preserve">[336]</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5"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5"/>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[337]</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[338]</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55"/>
        </w:numPr>
      </w:pPr>
      <w:r>
        <w:t xml:space="preserve">Колмогорова Анастасия Владимировна (заведующий Лабораторией языковой конвергенции);</w:t>
      </w:r>
    </w:p>
    <w:p>
      <w:pPr>
        <w:pStyle w:val="Compact"/>
        <w:numPr>
          <w:ilvl w:val="0"/>
          <w:numId w:val="1055"/>
        </w:numPr>
      </w:pPr>
      <w:r>
        <w:t xml:space="preserve">Явшиц Екатерина Валерьевна (младший научный сотрудник);</w:t>
      </w:r>
    </w:p>
    <w:p>
      <w:pPr>
        <w:pStyle w:val="Compact"/>
        <w:numPr>
          <w:ilvl w:val="0"/>
          <w:numId w:val="1055"/>
        </w:numPr>
      </w:pPr>
      <w:r>
        <w:t xml:space="preserve">Сугян Анна Хачатуровна (стажер-исследователь);</w:t>
      </w:r>
    </w:p>
    <w:p>
      <w:pPr>
        <w:pStyle w:val="Compact"/>
        <w:numPr>
          <w:ilvl w:val="0"/>
          <w:numId w:val="1055"/>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6"/>
        </w:numPr>
      </w:pPr>
      <w:r>
        <w:t xml:space="preserve">Набор аудиофайлов в формате .wav с записями речи;</w:t>
      </w:r>
    </w:p>
    <w:p>
      <w:pPr>
        <w:pStyle w:val="Compact"/>
        <w:numPr>
          <w:ilvl w:val="0"/>
          <w:numId w:val="1056"/>
        </w:numPr>
      </w:pPr>
      <w:r>
        <w:t xml:space="preserve">Текстовый файл в формате .csv, содержащий подробные метаданные для каждого аудиофайла.</w:t>
      </w:r>
    </w:p>
    <w:bookmarkEnd w:id="316"/>
    <w:bookmarkStart w:id="337"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7"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7"/>
          <w:p/>
        </w:tc>
      </w:tr>
    </w:tbl>
    <w:p>
      <w:pPr>
        <w:pStyle w:val="BodyText"/>
      </w:pPr>
      <w:r>
        <w:t xml:space="preserve">Для выполнения задачи использовались следующие методы:</w:t>
      </w:r>
    </w:p>
    <w:p>
      <w:pPr>
        <w:pStyle w:val="Compact"/>
        <w:numPr>
          <w:ilvl w:val="0"/>
          <w:numId w:val="1057"/>
        </w:numPr>
      </w:pPr>
      <w:r>
        <w:t xml:space="preserve">Веб-скрейпинг</w:t>
      </w:r>
    </w:p>
    <w:p>
      <w:pPr>
        <w:pStyle w:val="Compact"/>
        <w:numPr>
          <w:ilvl w:val="0"/>
          <w:numId w:val="1057"/>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57"/>
        </w:numPr>
      </w:pPr>
      <w:r>
        <w:t xml:space="preserve">Аспектно-ориентированный сентимент-анализ</w:t>
      </w:r>
    </w:p>
    <w:p>
      <w:pPr>
        <w:pStyle w:val="Compact"/>
        <w:numPr>
          <w:ilvl w:val="0"/>
          <w:numId w:val="1057"/>
        </w:numPr>
      </w:pPr>
      <w:r>
        <w:t xml:space="preserve">Применение больших языковых моделей (запуск моделей через llama-cpp-python локально)</w:t>
      </w:r>
    </w:p>
    <w:p>
      <w:pPr>
        <w:pStyle w:val="Compact"/>
        <w:numPr>
          <w:ilvl w:val="0"/>
          <w:numId w:val="1057"/>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21" w:name="fig-spb_2"/>
          <w:p>
            <w:pPr>
              <w:pStyle w:val="Compact"/>
              <w:jc w:val="center"/>
            </w:pPr>
            <w:r>
              <w:drawing>
                <wp:inline>
                  <wp:extent cx="5930900" cy="1581187"/>
                  <wp:effectExtent b="0" l="0" r="0" t="0"/>
                  <wp:docPr descr="" title="" id="319" name="Picture"/>
                  <a:graphic>
                    <a:graphicData uri="http://schemas.openxmlformats.org/drawingml/2006/picture">
                      <pic:pic>
                        <pic:nvPicPr>
                          <pic:cNvPr descr="images/spb_conlab_2.jpg" id="320" name="Picture"/>
                          <pic:cNvPicPr>
                            <a:picLocks noChangeArrowheads="1" noChangeAspect="1"/>
                          </pic:cNvPicPr>
                        </pic:nvPicPr>
                        <pic:blipFill>
                          <a:blip r:embed="rId318"/>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21"/>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22"/>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4"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4"/>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8" w:name="fig-spb_3"/>
          <w:p>
            <w:pPr>
              <w:pStyle w:val="Compact"/>
              <w:jc w:val="center"/>
            </w:pPr>
            <w:r>
              <w:drawing>
                <wp:inline>
                  <wp:extent cx="5930900" cy="5930900"/>
                  <wp:effectExtent b="0" l="0" r="0" t="0"/>
                  <wp:docPr descr="" title="" id="326" name="Picture"/>
                  <a:graphic>
                    <a:graphicData uri="http://schemas.openxmlformats.org/drawingml/2006/picture">
                      <pic:pic>
                        <pic:nvPicPr>
                          <pic:cNvPr descr="images/spb_conlab_3.jpg" id="327" name="Picture"/>
                          <pic:cNvPicPr>
                            <a:picLocks noChangeArrowheads="1" noChangeAspect="1"/>
                          </pic:cNvPicPr>
                        </pic:nvPicPr>
                        <pic:blipFill>
                          <a:blip r:embed="rId32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28"/>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2" w:name="fig-spb_4"/>
          <w:p>
            <w:pPr>
              <w:pStyle w:val="Compact"/>
              <w:jc w:val="center"/>
            </w:pPr>
            <w:r>
              <w:drawing>
                <wp:inline>
                  <wp:extent cx="5930900" cy="4247806"/>
                  <wp:effectExtent b="0" l="0" r="0" t="0"/>
                  <wp:docPr descr="" title="" id="330" name="Picture"/>
                  <a:graphic>
                    <a:graphicData uri="http://schemas.openxmlformats.org/drawingml/2006/picture">
                      <pic:pic>
                        <pic:nvPicPr>
                          <pic:cNvPr descr="images/spb_conlab_4.jpg" id="331" name="Picture"/>
                          <pic:cNvPicPr>
                            <a:picLocks noChangeArrowheads="1" noChangeAspect="1"/>
                          </pic:cNvPicPr>
                        </pic:nvPicPr>
                        <pic:blipFill>
                          <a:blip r:embed="rId329"/>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32"/>
        </w:tc>
      </w:tr>
    </w:tbl>
    <w:tbl>
      <w:tblPr>
        <w:tblStyle w:val="Table"/>
        <w:tblW w:type="pct" w:w="5000"/>
        <w:tblLayout w:type="fixed"/>
        <w:tblLook w:firstRow="0" w:lastRow="0" w:firstColumn="0" w:lastColumn="0" w:noHBand="0" w:noVBand="0" w:val="0000"/>
      </w:tblPr>
      <w:tblGrid>
        <w:gridCol w:w="7920"/>
      </w:tblGrid>
      <w:tr>
        <w:tc>
          <w:tcPr/>
          <w:bookmarkStart w:id="336" w:name="fig-spb_5"/>
          <w:p>
            <w:pPr>
              <w:pStyle w:val="Compact"/>
              <w:jc w:val="center"/>
            </w:pPr>
            <w:r>
              <w:drawing>
                <wp:inline>
                  <wp:extent cx="5930900" cy="4331556"/>
                  <wp:effectExtent b="0" l="0" r="0" t="0"/>
                  <wp:docPr descr="" title="" id="334" name="Picture"/>
                  <a:graphic>
                    <a:graphicData uri="http://schemas.openxmlformats.org/drawingml/2006/picture">
                      <pic:pic>
                        <pic:nvPicPr>
                          <pic:cNvPr descr="images/spb_conlab_5.jpg" id="335" name="Picture"/>
                          <pic:cNvPicPr>
                            <a:picLocks noChangeArrowheads="1" noChangeAspect="1"/>
                          </pic:cNvPicPr>
                        </pic:nvPicPr>
                        <pic:blipFill>
                          <a:blip r:embed="rId333"/>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36"/>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7"/>
    <w:bookmarkStart w:id="359"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[339]</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[340]</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[341]</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38"/>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6"/>
          <w:p>
            <w:pPr>
              <w:pStyle w:val="Compact"/>
              <w:jc w:val="center"/>
            </w:pPr>
            <w:r>
              <w:drawing>
                <wp:inline>
                  <wp:extent cx="5930900" cy="3677853"/>
                  <wp:effectExtent b="0" l="0" r="0" t="0"/>
                  <wp:docPr descr="" title="" id="340" name="Picture"/>
                  <a:graphic>
                    <a:graphicData uri="http://schemas.openxmlformats.org/drawingml/2006/picture">
                      <pic:pic>
                        <pic:nvPicPr>
                          <pic:cNvPr descr="images/spb_conlab_6.jpg" id="341" name="Picture"/>
                          <pic:cNvPicPr>
                            <a:picLocks noChangeArrowheads="1" noChangeAspect="1"/>
                          </pic:cNvPicPr>
                        </pic:nvPicPr>
                        <pic:blipFill>
                          <a:blip r:embed="rId339"/>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42"/>
        </w:tc>
      </w:tr>
    </w:tbl>
    <w:tbl>
      <w:tblPr>
        <w:tblStyle w:val="Table"/>
        <w:tblW w:type="pct" w:w="5000"/>
        <w:tblLayout w:type="fixed"/>
        <w:tblLook w:firstRow="0" w:lastRow="0" w:firstColumn="0" w:lastColumn="0" w:noHBand="0" w:noVBand="0" w:val="0000"/>
      </w:tblPr>
      <w:tblGrid>
        <w:gridCol w:w="7920"/>
      </w:tblGrid>
      <w:tr>
        <w:tc>
          <w:tcPr/>
          <w:bookmarkStart w:id="346" w:name="fig-spb_7"/>
          <w:p>
            <w:pPr>
              <w:pStyle w:val="Compact"/>
              <w:jc w:val="center"/>
            </w:pPr>
            <w:r>
              <w:drawing>
                <wp:inline>
                  <wp:extent cx="5930900" cy="3813962"/>
                  <wp:effectExtent b="0" l="0" r="0" t="0"/>
                  <wp:docPr descr="" title="" id="344" name="Picture"/>
                  <a:graphic>
                    <a:graphicData uri="http://schemas.openxmlformats.org/drawingml/2006/picture">
                      <pic:pic>
                        <pic:nvPicPr>
                          <pic:cNvPr descr="images/spb_conlab_7.jpg" id="345" name="Picture"/>
                          <pic:cNvPicPr>
                            <a:picLocks noChangeArrowheads="1" noChangeAspect="1"/>
                          </pic:cNvPicPr>
                        </pic:nvPicPr>
                        <pic:blipFill>
                          <a:blip r:embed="rId343"/>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46"/>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7"/>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49"/>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50"/>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[342; 343]</w:t>
      </w:r>
      <w:r>
        <w:t xml:space="preserve">. Неслучайно характерные признаки названных текстов изучаются и как черты медиажанров</w:t>
      </w:r>
      <w:r>
        <w:t xml:space="preserve"> </w:t>
      </w:r>
      <w:r>
        <w:t xml:space="preserve">[344]</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51"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51"/>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2"/>
      </w:r>
      <w:r>
        <w:t xml:space="preserve">, а также сегментации на предложения с использованием библиотеки NLTK</w:t>
      </w:r>
      <w:r>
        <w:t xml:space="preserve"> </w:t>
      </w:r>
      <w:r>
        <w:t xml:space="preserve">[345]</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6" w:name="fig-spb_8"/>
          <w:p>
            <w:pPr>
              <w:pStyle w:val="Compact"/>
              <w:jc w:val="center"/>
            </w:pPr>
            <w:r>
              <w:drawing>
                <wp:inline>
                  <wp:extent cx="5930900" cy="8061810"/>
                  <wp:effectExtent b="0" l="0" r="0" t="0"/>
                  <wp:docPr descr="" title="" id="354" name="Picture"/>
                  <a:graphic>
                    <a:graphicData uri="http://schemas.openxmlformats.org/drawingml/2006/picture">
                      <pic:pic>
                        <pic:nvPicPr>
                          <pic:cNvPr descr="images/spb_conlab_8.jpg" id="355" name="Picture"/>
                          <pic:cNvPicPr>
                            <a:picLocks noChangeArrowheads="1" noChangeAspect="1"/>
                          </pic:cNvPicPr>
                        </pic:nvPicPr>
                        <pic:blipFill>
                          <a:blip r:embed="rId353"/>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56"/>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7"/>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[346]</w:t>
      </w:r>
      <w:r>
        <w:t xml:space="preserve"> </w:t>
      </w:r>
      <w:r>
        <w:t xml:space="preserve">и программного обеспечения Orange</w:t>
      </w:r>
      <w:r>
        <w:rPr>
          <w:rStyle w:val="FootnoteReference"/>
        </w:rPr>
        <w:footnoteReference w:id="358"/>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[347; 348]</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[349]</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58"/>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58"/>
        </w:numPr>
      </w:pPr>
      <w:r>
        <w:rPr>
          <w:i/>
          <w:iCs/>
        </w:rPr>
        <w:t xml:space="preserve">Сегодня вы просто обречены на успех в амурных делах. Не играйте в карты!</w:t>
      </w:r>
    </w:p>
    <w:p>
      <w:pPr>
        <w:pStyle w:val="Compact"/>
        <w:numPr>
          <w:ilvl w:val="0"/>
          <w:numId w:val="1058"/>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58"/>
        </w:numPr>
      </w:pPr>
      <w:r>
        <w:rPr>
          <w:i/>
          <w:iCs/>
        </w:rPr>
        <w:t xml:space="preserve">Сегодня лучше действовать сообща. Одному столько не выпить.</w:t>
      </w:r>
    </w:p>
    <w:p>
      <w:pPr>
        <w:pStyle w:val="Compact"/>
        <w:numPr>
          <w:ilvl w:val="0"/>
          <w:numId w:val="1058"/>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59"/>
    <w:bookmarkEnd w:id="360"/>
    <w:bookmarkStart w:id="373"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2" w:name="X6050ce72733a408d06a10b4065840ef030a97ad"/>
    <w:p>
      <w:pPr>
        <w:pStyle w:val="Heading3"/>
      </w:pPr>
      <w:r>
        <w:t xml:space="preserve">5.5.1 Лингвистические цифровые ресурсы и прикладные разработки</w:t>
      </w:r>
    </w:p>
    <w:bookmarkStart w:id="365"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4" w:name="fig-spb_9"/>
          <w:p>
            <w:pPr>
              <w:pStyle w:val="Compact"/>
              <w:jc w:val="center"/>
            </w:pPr>
            <w:r>
              <w:drawing>
                <wp:inline>
                  <wp:extent cx="5930900" cy="3706812"/>
                  <wp:effectExtent b="0" l="0" r="0" t="0"/>
                  <wp:docPr descr="" title="" id="362" name="Picture"/>
                  <a:graphic>
                    <a:graphicData uri="http://schemas.openxmlformats.org/drawingml/2006/picture">
                      <pic:pic>
                        <pic:nvPicPr>
                          <pic:cNvPr descr="images/spb_conlab_9.jpg" id="363" name="Picture"/>
                          <pic:cNvPicPr>
                            <a:picLocks noChangeArrowheads="1" noChangeAspect="1"/>
                          </pic:cNvPicPr>
                        </pic:nvPicPr>
                        <pic:blipFill>
                          <a:blip r:embed="rId361"/>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64"/>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5"/>
    <w:bookmarkStart w:id="367"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[350; 351]</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[352]</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59"/>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[353]</w:t>
      </w:r>
      <w:r>
        <w:t xml:space="preserve">;</w:t>
      </w:r>
    </w:p>
    <w:p>
      <w:pPr>
        <w:pStyle w:val="Compact"/>
        <w:numPr>
          <w:ilvl w:val="0"/>
          <w:numId w:val="1059"/>
        </w:numPr>
      </w:pPr>
      <w:r>
        <w:t xml:space="preserve">оценка эмоционального влияния текстов на читателей, для чего используется метод, описанный ранее в</w:t>
      </w:r>
      <w:r>
        <w:t xml:space="preserve"> </w:t>
      </w:r>
      <w:r>
        <w:t xml:space="preserve">[354]</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[355]</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59"/>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[356]</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[357]</w:t>
      </w:r>
      <w:r>
        <w:t xml:space="preserve">;</w:t>
      </w:r>
    </w:p>
    <w:p>
      <w:pPr>
        <w:pStyle w:val="Compact"/>
        <w:numPr>
          <w:ilvl w:val="0"/>
          <w:numId w:val="1059"/>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[358]</w:t>
      </w:r>
      <w:r>
        <w:t xml:space="preserve">;</w:t>
      </w:r>
    </w:p>
    <w:p>
      <w:pPr>
        <w:pStyle w:val="Compact"/>
        <w:numPr>
          <w:ilvl w:val="0"/>
          <w:numId w:val="1059"/>
        </w:numPr>
      </w:pPr>
      <w:r>
        <w:t xml:space="preserve">выделение диегетического звука в тексте</w:t>
      </w:r>
      <w:r>
        <w:t xml:space="preserve"> </w:t>
      </w:r>
      <w:r>
        <w:t xml:space="preserve">[359]</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[360]</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6"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6"/>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[358]</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60"/>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61"/>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2"/>
        </w:numPr>
      </w:pPr>
      <w:r>
        <w:t xml:space="preserve">Объем: 650 записей (биографий);</w:t>
      </w:r>
    </w:p>
    <w:p>
      <w:pPr>
        <w:pStyle w:val="Compact"/>
        <w:numPr>
          <w:ilvl w:val="0"/>
          <w:numId w:val="1062"/>
        </w:numPr>
      </w:pPr>
      <w:r>
        <w:t xml:space="preserve">Структура: 30 столбцов с детализированным описанием жизни и творчества авторов.</w:t>
      </w:r>
    </w:p>
    <w:bookmarkEnd w:id="367"/>
    <w:bookmarkStart w:id="371"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[361; 362]</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[363–366]</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[367]</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68"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68"/>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69">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70"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70"/>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71"/>
    <w:bookmarkEnd w:id="372"/>
    <w:bookmarkEnd w:id="373"/>
    <w:bookmarkEnd w:id="374"/>
    <w:bookmarkStart w:id="782" w:name="список-использованных-источников"/>
    <w:p>
      <w:pPr>
        <w:pStyle w:val="Heading1"/>
      </w:pPr>
      <w:r>
        <w:t xml:space="preserve">СПИСОК ИСПОЛЬЗОВАННЫХ ИСТОЧНИКОВ</w:t>
      </w:r>
    </w:p>
    <w:bookmarkStart w:id="781" w:name="refs"/>
    <w:bookmarkStart w:id="376" w:name="ref-dingemanse2023"/>
    <w:p>
      <w:pPr>
        <w:pStyle w:val="Bibliography"/>
      </w:pPr>
      <w:r>
        <w:t xml:space="preserve">1.</w:t>
      </w:r>
      <w:r>
        <w:t xml:space="preserve"> </w:t>
      </w:r>
      <w:r>
        <w:t xml:space="preserve">	</w:t>
      </w:r>
      <w:r>
        <w:t xml:space="preserve">Dingemanse M.</w:t>
      </w:r>
      <w:r>
        <w:t xml:space="preserve"> </w:t>
      </w:r>
      <w:hyperlink r:id="rId375">
        <w:r>
          <w:rPr>
            <w:rStyle w:val="Hyperlink"/>
          </w:rPr>
          <w:t xml:space="preserve">Interjections</w:t>
        </w:r>
      </w:hyperlink>
      <w:r>
        <w:t xml:space="preserve"> </w:t>
      </w:r>
      <w:r>
        <w:t xml:space="preserve">// The oxford handbook of word classes / ed. by Lier E. van. — Oxford: Oxford University Press, 2023. — P. 477–491.</w:t>
      </w:r>
    </w:p>
    <w:bookmarkEnd w:id="376"/>
    <w:bookmarkStart w:id="377" w:name="ref-aikhenvald2010"/>
    <w:p>
      <w:pPr>
        <w:pStyle w:val="Bibliography"/>
      </w:pPr>
      <w:r>
        <w:t xml:space="preserve">2.</w:t>
      </w:r>
      <w:r>
        <w:t xml:space="preserve"> </w:t>
      </w:r>
      <w:r>
        <w:t xml:space="preserve">	</w:t>
      </w:r>
      <w:r>
        <w:t xml:space="preserve">Aikhenvald A. Y. Imperatives and commands. — Oxford: Oxford University Press, 2010.</w:t>
      </w:r>
    </w:p>
    <w:bookmarkEnd w:id="377"/>
    <w:bookmarkStart w:id="378"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78"/>
    <w:bookmarkStart w:id="380" w:name="ref-dagatlas"/>
    <w:p>
      <w:pPr>
        <w:pStyle w:val="Bibliography"/>
      </w:pPr>
      <w:r>
        <w:t xml:space="preserve">4.</w:t>
      </w:r>
      <w:r>
        <w:t xml:space="preserve"> </w:t>
      </w:r>
      <w:r>
        <w:t xml:space="preserve">	</w:t>
      </w:r>
      <w:r>
        <w:t xml:space="preserve">Daniel K. F. Michael, Verhees S.</w:t>
      </w:r>
      <w:r>
        <w:t xml:space="preserve"> </w:t>
      </w:r>
      <w:hyperlink r:id="rId379">
        <w:r>
          <w:rPr>
            <w:rStyle w:val="Hyperlink"/>
          </w:rPr>
          <w:t xml:space="preserve">Typological atlas of the languages of daghestan (TALD), v. 2.0.0.</w:t>
        </w:r>
      </w:hyperlink>
      <w:r>
        <w:t xml:space="preserve"> — Moscow: Linguistic Convergence Laboratory, NRU HSE, 2025.</w:t>
      </w:r>
    </w:p>
    <w:bookmarkEnd w:id="380"/>
    <w:bookmarkStart w:id="381"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81"/>
    <w:bookmarkStart w:id="382"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2"/>
    <w:bookmarkStart w:id="383"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3"/>
    <w:bookmarkStart w:id="384"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4"/>
    <w:bookmarkStart w:id="385"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5"/>
    <w:bookmarkStart w:id="386"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6"/>
    <w:bookmarkStart w:id="387"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7"/>
    <w:bookmarkStart w:id="388"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88"/>
    <w:bookmarkStart w:id="389"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389"/>
    <w:bookmarkStart w:id="390"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390"/>
    <w:bookmarkStart w:id="391"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391"/>
    <w:bookmarkStart w:id="392"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392"/>
    <w:bookmarkStart w:id="393"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393"/>
    <w:bookmarkStart w:id="394"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394"/>
    <w:bookmarkStart w:id="395"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395"/>
    <w:bookmarkStart w:id="396"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396"/>
    <w:bookmarkStart w:id="397"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397"/>
    <w:bookmarkStart w:id="398"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398"/>
    <w:bookmarkStart w:id="399"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399"/>
    <w:bookmarkStart w:id="400"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00"/>
    <w:bookmarkStart w:id="401"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01"/>
    <w:bookmarkStart w:id="402"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02"/>
    <w:bookmarkStart w:id="403"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03"/>
    <w:bookmarkStart w:id="404"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04"/>
    <w:bookmarkStart w:id="405"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05"/>
    <w:bookmarkStart w:id="406"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06"/>
    <w:bookmarkStart w:id="407"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7"/>
    <w:bookmarkStart w:id="408"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08"/>
    <w:bookmarkStart w:id="409"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09"/>
    <w:bookmarkStart w:id="410"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10"/>
    <w:bookmarkStart w:id="411"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11"/>
    <w:bookmarkStart w:id="412"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2"/>
    <w:bookmarkStart w:id="413"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13"/>
    <w:bookmarkStart w:id="414"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14"/>
    <w:bookmarkStart w:id="415"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15"/>
    <w:bookmarkStart w:id="416"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16"/>
    <w:bookmarkStart w:id="417"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17"/>
    <w:bookmarkStart w:id="418"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18"/>
    <w:bookmarkStart w:id="419"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19"/>
    <w:bookmarkStart w:id="420"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20"/>
    <w:bookmarkStart w:id="421"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21"/>
    <w:bookmarkStart w:id="422" w:name="ref-sumbatovamutalov2003"/>
    <w:p>
      <w:pPr>
        <w:pStyle w:val="Bibliography"/>
      </w:pPr>
      <w:r>
        <w:t xml:space="preserve">46.</w:t>
      </w:r>
      <w:r>
        <w:t xml:space="preserve"> </w:t>
      </w:r>
      <w:r>
        <w:t xml:space="preserve">	</w:t>
      </w:r>
      <w:r>
        <w:t xml:space="preserve">Sumbatova N. R. M. R. O. A grammar of icari dargwa. — Lincom Europa, 2003.</w:t>
      </w:r>
    </w:p>
    <w:bookmarkEnd w:id="422"/>
    <w:bookmarkStart w:id="423"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3"/>
    <w:bookmarkStart w:id="424"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4"/>
    <w:bookmarkStart w:id="425"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5"/>
    <w:bookmarkStart w:id="427" w:name="ref-rieseetal2022"/>
    <w:p>
      <w:pPr>
        <w:pStyle w:val="Bibliography"/>
      </w:pPr>
      <w:r>
        <w:t xml:space="preserve">50.</w:t>
      </w:r>
      <w:r>
        <w:t xml:space="preserve"> </w:t>
      </w:r>
      <w:r>
        <w:t xml:space="preserve">	</w:t>
      </w:r>
      <w:r>
        <w:t xml:space="preserve">Riese T. Y. T. Bradley J.</w:t>
      </w:r>
      <w:r>
        <w:t xml:space="preserve"> </w:t>
      </w:r>
      <w:hyperlink r:id="rId426">
        <w:r>
          <w:rPr>
            <w:rStyle w:val="Hyperlink"/>
          </w:rPr>
          <w:t xml:space="preserve">Mari. An essential grammar for international learners</w:t>
        </w:r>
      </w:hyperlink>
      <w:r>
        <w:t xml:space="preserve">. — University of Vienna, 2022.</w:t>
      </w:r>
    </w:p>
    <w:bookmarkEnd w:id="427"/>
    <w:bookmarkStart w:id="428"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28"/>
    <w:bookmarkStart w:id="429"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29"/>
    <w:bookmarkStart w:id="431" w:name="ref-bates2014"/>
    <w:p>
      <w:pPr>
        <w:pStyle w:val="Bibliography"/>
      </w:pPr>
      <w:r>
        <w:t xml:space="preserve">53.</w:t>
      </w:r>
      <w:r>
        <w:t xml:space="preserve"> </w:t>
      </w:r>
      <w:r>
        <w:t xml:space="preserve">	</w:t>
      </w:r>
      <w:r>
        <w:t xml:space="preserve">Bates D.</w:t>
      </w:r>
      <w:r>
        <w:t xml:space="preserve"> </w:t>
      </w:r>
      <w:hyperlink r:id="rId430">
        <w:r>
          <w:rPr>
            <w:rStyle w:val="Hyperlink"/>
          </w:rPr>
          <w:t xml:space="preserve">Fitting linear mixed-effects models using lme4</w:t>
        </w:r>
      </w:hyperlink>
      <w:r>
        <w:t xml:space="preserve">. — 2014.</w:t>
      </w:r>
    </w:p>
    <w:bookmarkEnd w:id="431"/>
    <w:bookmarkStart w:id="432"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2"/>
    <w:bookmarkStart w:id="433"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3"/>
    <w:bookmarkStart w:id="434"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4"/>
    <w:bookmarkStart w:id="435"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5"/>
    <w:bookmarkStart w:id="436"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6"/>
    <w:bookmarkStart w:id="437"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7"/>
    <w:bookmarkStart w:id="439" w:name="ref-panovaphilippova2021"/>
    <w:p>
      <w:pPr>
        <w:pStyle w:val="Bibliography"/>
      </w:pPr>
      <w:r>
        <w:t xml:space="preserve">60.</w:t>
      </w:r>
      <w:r>
        <w:t xml:space="preserve"> </w:t>
      </w:r>
      <w:r>
        <w:t xml:space="preserve">	</w:t>
      </w:r>
      <w:r>
        <w:t xml:space="preserve">Panova &amp;. P. A.</w:t>
      </w:r>
      <w:r>
        <w:t xml:space="preserve"> </w:t>
      </w:r>
      <w:hyperlink r:id="rId438">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39"/>
    <w:bookmarkStart w:id="440"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40"/>
    <w:bookmarkStart w:id="441"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41"/>
    <w:bookmarkStart w:id="442"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2"/>
    <w:bookmarkStart w:id="444" w:name="ref-savelyev2020"/>
    <w:p>
      <w:pPr>
        <w:pStyle w:val="Bibliography"/>
      </w:pPr>
      <w:r>
        <w:t xml:space="preserve">64.</w:t>
      </w:r>
      <w:r>
        <w:t xml:space="preserve"> </w:t>
      </w:r>
      <w:r>
        <w:t xml:space="preserve">	</w:t>
      </w:r>
      <w:r>
        <w:t xml:space="preserve">Savelyev A.</w:t>
      </w:r>
      <w:r>
        <w:t xml:space="preserve"> </w:t>
      </w:r>
      <w:hyperlink r:id="rId443">
        <w:r>
          <w:rPr>
            <w:rStyle w:val="Hyperlink"/>
          </w:rPr>
          <w:t xml:space="preserve">Chuvash and the bulgharic languages</w:t>
        </w:r>
      </w:hyperlink>
      <w:r>
        <w:t xml:space="preserve"> </w:t>
      </w:r>
      <w:r>
        <w:t xml:space="preserve">// The oxford guide to the transeurasian languages. — 2020. — P. 446–464.</w:t>
      </w:r>
    </w:p>
    <w:bookmarkEnd w:id="444"/>
    <w:bookmarkStart w:id="445"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5"/>
    <w:bookmarkStart w:id="446"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6"/>
    <w:bookmarkStart w:id="447"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7"/>
    <w:bookmarkStart w:id="449" w:name="ref-gehrkelekakou2013"/>
    <w:p>
      <w:pPr>
        <w:pStyle w:val="Bibliography"/>
      </w:pPr>
      <w:r>
        <w:t xml:space="preserve">68.</w:t>
      </w:r>
      <w:r>
        <w:t xml:space="preserve"> </w:t>
      </w:r>
      <w:r>
        <w:t xml:space="preserve">	</w:t>
      </w:r>
      <w:r>
        <w:t xml:space="preserve">Gehrke &amp;. L. B.</w:t>
      </w:r>
      <w:r>
        <w:t xml:space="preserve"> </w:t>
      </w:r>
      <w:hyperlink r:id="rId448">
        <w:r>
          <w:rPr>
            <w:rStyle w:val="Hyperlink"/>
          </w:rPr>
          <w:t xml:space="preserve">How to miss your preposition</w:t>
        </w:r>
      </w:hyperlink>
      <w:r>
        <w:t xml:space="preserve"> </w:t>
      </w:r>
      <w:r>
        <w:t xml:space="preserve">// Studies in Greek Linguistics. — 2013. — Vol. 33. — P. 92–106.</w:t>
      </w:r>
    </w:p>
    <w:bookmarkEnd w:id="449"/>
    <w:bookmarkStart w:id="451" w:name="ref-caponigropearl2008"/>
    <w:p>
      <w:pPr>
        <w:pStyle w:val="Bibliography"/>
      </w:pPr>
      <w:r>
        <w:t xml:space="preserve">69.</w:t>
      </w:r>
      <w:r>
        <w:t xml:space="preserve"> </w:t>
      </w:r>
      <w:r>
        <w:t xml:space="preserve">	</w:t>
      </w:r>
      <w:r>
        <w:t xml:space="preserve">Caponigro &amp;. P. I.</w:t>
      </w:r>
      <w:r>
        <w:t xml:space="preserve"> </w:t>
      </w:r>
      <w:hyperlink r:id="rId450">
        <w:r>
          <w:rPr>
            <w:rStyle w:val="Hyperlink"/>
          </w:rPr>
          <w:t xml:space="preserve">Silent prepositions: Evidence from free relatives.</w:t>
        </w:r>
      </w:hyperlink>
      <w:r>
        <w:t xml:space="preserve"> </w:t>
      </w:r>
      <w:r>
        <w:t xml:space="preserve">// The syntax and semantics of spatial p. — 2008. — P. 365–385.</w:t>
      </w:r>
    </w:p>
    <w:bookmarkEnd w:id="451"/>
    <w:bookmarkStart w:id="453" w:name="ref-naccaratomoroz2025"/>
    <w:p>
      <w:pPr>
        <w:pStyle w:val="Bibliography"/>
      </w:pPr>
      <w:r>
        <w:t xml:space="preserve">70.</w:t>
      </w:r>
      <w:r>
        <w:t xml:space="preserve"> </w:t>
      </w:r>
      <w:r>
        <w:t xml:space="preserve">	</w:t>
      </w:r>
      <w:r>
        <w:t xml:space="preserve">Naccarato &amp;. M. C.</w:t>
      </w:r>
      <w:r>
        <w:t xml:space="preserve"> </w:t>
      </w:r>
      <w:hyperlink r:id="rId452">
        <w:r>
          <w:rPr>
            <w:rStyle w:val="Hyperlink"/>
          </w:rPr>
          <w:t xml:space="preserve">Non-standard numeral constructions in L2 russian: A corpusbased study</w:t>
        </w:r>
      </w:hyperlink>
      <w:r>
        <w:t xml:space="preserve"> </w:t>
      </w:r>
      <w:r>
        <w:t xml:space="preserve">// International Journal of Bilingualism. — 2025.</w:t>
      </w:r>
    </w:p>
    <w:bookmarkEnd w:id="453"/>
    <w:bookmarkStart w:id="455" w:name="ref-levshina2015"/>
    <w:p>
      <w:pPr>
        <w:pStyle w:val="Bibliography"/>
      </w:pPr>
      <w:r>
        <w:t xml:space="preserve">71.</w:t>
      </w:r>
      <w:r>
        <w:t xml:space="preserve"> </w:t>
      </w:r>
      <w:r>
        <w:t xml:space="preserve">	</w:t>
      </w:r>
      <w:r>
        <w:t xml:space="preserve">Levshina N.</w:t>
      </w:r>
      <w:r>
        <w:t xml:space="preserve"> </w:t>
      </w:r>
      <w:hyperlink r:id="rId454">
        <w:r>
          <w:rPr>
            <w:rStyle w:val="Hyperlink"/>
          </w:rPr>
          <w:t xml:space="preserve">How to do linguistics with r</w:t>
        </w:r>
      </w:hyperlink>
      <w:r>
        <w:t xml:space="preserve">. — John Benjamins, 2015.</w:t>
      </w:r>
    </w:p>
    <w:bookmarkEnd w:id="455"/>
    <w:bookmarkStart w:id="456"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6"/>
    <w:bookmarkStart w:id="457"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7"/>
    <w:bookmarkStart w:id="458"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58"/>
    <w:bookmarkStart w:id="459"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59"/>
    <w:bookmarkStart w:id="460"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60"/>
    <w:bookmarkStart w:id="461"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61"/>
    <w:bookmarkStart w:id="462"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2"/>
    <w:bookmarkStart w:id="463"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3"/>
    <w:bookmarkStart w:id="464"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4"/>
    <w:bookmarkStart w:id="465"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5"/>
    <w:bookmarkStart w:id="466"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6"/>
    <w:bookmarkStart w:id="467"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7"/>
    <w:bookmarkStart w:id="468"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68"/>
    <w:bookmarkStart w:id="469"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69"/>
    <w:bookmarkStart w:id="470"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70"/>
    <w:bookmarkStart w:id="471"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71"/>
    <w:bookmarkStart w:id="472"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2"/>
    <w:bookmarkStart w:id="473"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3"/>
    <w:bookmarkStart w:id="474"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4"/>
    <w:bookmarkStart w:id="475"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5"/>
    <w:bookmarkStart w:id="476"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6"/>
    <w:bookmarkStart w:id="477"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7"/>
    <w:bookmarkStart w:id="478"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78"/>
    <w:bookmarkStart w:id="479"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79"/>
    <w:bookmarkStart w:id="480"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80"/>
    <w:bookmarkStart w:id="481"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81"/>
    <w:bookmarkStart w:id="482"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2"/>
    <w:bookmarkStart w:id="483"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3"/>
    <w:bookmarkStart w:id="484"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4"/>
    <w:bookmarkStart w:id="485"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5"/>
    <w:bookmarkStart w:id="486"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6"/>
    <w:bookmarkStart w:id="487"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7"/>
    <w:bookmarkStart w:id="488"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88"/>
    <w:bookmarkStart w:id="490" w:name="ref-givon1983"/>
    <w:p>
      <w:pPr>
        <w:pStyle w:val="Bibliography"/>
      </w:pPr>
      <w:r>
        <w:t xml:space="preserve">105.</w:t>
      </w:r>
      <w:r>
        <w:t xml:space="preserve"> </w:t>
      </w:r>
      <w:r>
        <w:t xml:space="preserve">	</w:t>
      </w:r>
      <w:r>
        <w:t xml:space="preserve">Givón T.</w:t>
      </w:r>
      <w:r>
        <w:t xml:space="preserve"> </w:t>
      </w:r>
      <w:hyperlink r:id="rId489">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90"/>
    <w:bookmarkStart w:id="492" w:name="ref-kibrik2011"/>
    <w:p>
      <w:pPr>
        <w:pStyle w:val="Bibliography"/>
      </w:pPr>
      <w:r>
        <w:t xml:space="preserve">106.</w:t>
      </w:r>
      <w:r>
        <w:t xml:space="preserve"> </w:t>
      </w:r>
      <w:r>
        <w:t xml:space="preserve">	</w:t>
      </w:r>
      <w:r>
        <w:t xml:space="preserve">Kibrik A.</w:t>
      </w:r>
      <w:r>
        <w:t xml:space="preserve"> </w:t>
      </w:r>
      <w:hyperlink r:id="rId491">
        <w:r>
          <w:rPr>
            <w:rStyle w:val="Hyperlink"/>
          </w:rPr>
          <w:t xml:space="preserve">Reference in discourse</w:t>
        </w:r>
      </w:hyperlink>
      <w:r>
        <w:t xml:space="preserve">. — Oxford: Oxford University Press, 2011.</w:t>
      </w:r>
    </w:p>
    <w:bookmarkEnd w:id="492"/>
    <w:bookmarkStart w:id="494" w:name="ref-bickel2003"/>
    <w:p>
      <w:pPr>
        <w:pStyle w:val="Bibliography"/>
      </w:pPr>
      <w:r>
        <w:t xml:space="preserve">107.</w:t>
      </w:r>
      <w:r>
        <w:t xml:space="preserve"> </w:t>
      </w:r>
      <w:r>
        <w:t xml:space="preserve">	</w:t>
      </w:r>
      <w:r>
        <w:t xml:space="preserve">Bickel B.</w:t>
      </w:r>
      <w:r>
        <w:t xml:space="preserve"> </w:t>
      </w:r>
      <w:hyperlink r:id="rId493">
        <w:r>
          <w:rPr>
            <w:rStyle w:val="Hyperlink"/>
          </w:rPr>
          <w:t xml:space="preserve">Referential density in discourse and syntactic typology</w:t>
        </w:r>
      </w:hyperlink>
      <w:r>
        <w:t xml:space="preserve"> </w:t>
      </w:r>
      <w:r>
        <w:t xml:space="preserve">// Language. — 2003. — Vol. 79, no. 4. — P. 708–736.</w:t>
      </w:r>
    </w:p>
    <w:bookmarkEnd w:id="494"/>
    <w:bookmarkStart w:id="495"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5"/>
    <w:bookmarkStart w:id="496"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6"/>
    <w:bookmarkStart w:id="497"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7"/>
    <w:bookmarkStart w:id="498"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498"/>
    <w:bookmarkStart w:id="499"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499"/>
    <w:bookmarkStart w:id="500"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00"/>
    <w:bookmarkStart w:id="501"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01"/>
    <w:bookmarkStart w:id="502"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2"/>
    <w:bookmarkStart w:id="503"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3"/>
    <w:bookmarkStart w:id="505" w:name="ref-bikina2022"/>
    <w:p>
      <w:pPr>
        <w:pStyle w:val="Bibliography"/>
      </w:pPr>
      <w:r>
        <w:t xml:space="preserve">117.</w:t>
      </w:r>
      <w:r>
        <w:t xml:space="preserve"> </w:t>
      </w:r>
      <w:r>
        <w:t xml:space="preserve">	</w:t>
      </w:r>
      <w:r>
        <w:t xml:space="preserve">Bikina D., Rakhman D., Potseluev V., Starchenko A., Toldova S.</w:t>
      </w:r>
      <w:r>
        <w:t xml:space="preserve"> </w:t>
      </w:r>
      <w:hyperlink r:id="rId504">
        <w:r>
          <w:rPr>
            <w:rStyle w:val="Hyperlink"/>
          </w:rPr>
          <w:t xml:space="preserve">Non-finite constructions in khanty: Their unity and diversity</w:t>
        </w:r>
      </w:hyperlink>
      <w:r>
        <w:t xml:space="preserve"> </w:t>
      </w:r>
      <w:r>
        <w:t xml:space="preserve">// Folia Linguistica. — 2022. — Is. 0.</w:t>
      </w:r>
    </w:p>
    <w:bookmarkEnd w:id="505"/>
    <w:bookmarkStart w:id="507" w:name="ref-arregui1998"/>
    <w:p>
      <w:pPr>
        <w:pStyle w:val="Bibliography"/>
      </w:pPr>
      <w:r>
        <w:t xml:space="preserve">118.</w:t>
      </w:r>
      <w:r>
        <w:t xml:space="preserve"> </w:t>
      </w:r>
      <w:r>
        <w:t xml:space="preserve">	</w:t>
      </w:r>
      <w:r>
        <w:t xml:space="preserve">Arregui A., Kusumoto K.</w:t>
      </w:r>
      <w:r>
        <w:t xml:space="preserve"> </w:t>
      </w:r>
      <w:hyperlink r:id="rId506">
        <w:r>
          <w:rPr>
            <w:rStyle w:val="Hyperlink"/>
          </w:rPr>
          <w:t xml:space="preserve">Tense in temporal adjunct clauses</w:t>
        </w:r>
      </w:hyperlink>
      <w:r>
        <w:t xml:space="preserve"> </w:t>
      </w:r>
      <w:r>
        <w:t xml:space="preserve">/ Semantics and linguistic theory. — 1998.</w:t>
      </w:r>
    </w:p>
    <w:bookmarkEnd w:id="507"/>
    <w:bookmarkStart w:id="509" w:name="ref-kusumoto2005"/>
    <w:p>
      <w:pPr>
        <w:pStyle w:val="Bibliography"/>
      </w:pPr>
      <w:r>
        <w:t xml:space="preserve">119.</w:t>
      </w:r>
      <w:r>
        <w:t xml:space="preserve"> </w:t>
      </w:r>
      <w:r>
        <w:t xml:space="preserve">	</w:t>
      </w:r>
      <w:r>
        <w:t xml:space="preserve">Kusumoto K.</w:t>
      </w:r>
      <w:r>
        <w:t xml:space="preserve"> </w:t>
      </w:r>
      <w:hyperlink r:id="rId508">
        <w:r>
          <w:rPr>
            <w:rStyle w:val="Hyperlink"/>
          </w:rPr>
          <w:t xml:space="preserve">On the quantification over times in natural language</w:t>
        </w:r>
      </w:hyperlink>
      <w:r>
        <w:t xml:space="preserve"> </w:t>
      </w:r>
      <w:r>
        <w:t xml:space="preserve">// Natural Language Semantics. — 2005. — Vol. 13, no. 4. — P. 317–357.</w:t>
      </w:r>
    </w:p>
    <w:bookmarkEnd w:id="509"/>
    <w:bookmarkStart w:id="511" w:name="ref-stowell2007"/>
    <w:p>
      <w:pPr>
        <w:pStyle w:val="Bibliography"/>
      </w:pPr>
      <w:r>
        <w:t xml:space="preserve">120.</w:t>
      </w:r>
      <w:r>
        <w:t xml:space="preserve"> </w:t>
      </w:r>
      <w:r>
        <w:t xml:space="preserve">	</w:t>
      </w:r>
      <w:r>
        <w:t xml:space="preserve">Stowell T.</w:t>
      </w:r>
      <w:r>
        <w:t xml:space="preserve"> </w:t>
      </w:r>
      <w:hyperlink r:id="rId510">
        <w:r>
          <w:rPr>
            <w:rStyle w:val="Hyperlink"/>
          </w:rPr>
          <w:t xml:space="preserve">The syntactic expression of tense</w:t>
        </w:r>
      </w:hyperlink>
      <w:r>
        <w:t xml:space="preserve"> </w:t>
      </w:r>
      <w:r>
        <w:t xml:space="preserve">// Lingua. — 2007. — Vol. 117, no. 2. — P. 437–463.</w:t>
      </w:r>
    </w:p>
    <w:bookmarkEnd w:id="511"/>
    <w:bookmarkStart w:id="513" w:name="ref-oleary2021"/>
    <w:p>
      <w:pPr>
        <w:pStyle w:val="Bibliography"/>
      </w:pPr>
      <w:r>
        <w:t xml:space="preserve">121.</w:t>
      </w:r>
      <w:r>
        <w:t xml:space="preserve"> </w:t>
      </w:r>
      <w:r>
        <w:t xml:space="preserve">	</w:t>
      </w:r>
      <w:r>
        <w:t xml:space="preserve">O’Leary M. C.</w:t>
      </w:r>
      <w:r>
        <w:t xml:space="preserve"> </w:t>
      </w:r>
      <w:hyperlink r:id="rId512">
        <w:r>
          <w:rPr>
            <w:rStyle w:val="Hyperlink"/>
          </w:rPr>
          <w:t xml:space="preserve">Locality constraints in nominal evaluation times</w:t>
        </w:r>
      </w:hyperlink>
      <w:r>
        <w:t xml:space="preserve">. — 2021. — Vol. 6, no. 1. — P. 938.</w:t>
      </w:r>
    </w:p>
    <w:bookmarkEnd w:id="513"/>
    <w:bookmarkStart w:id="514"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4"/>
    <w:bookmarkStart w:id="515"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5"/>
    <w:bookmarkStart w:id="517" w:name="ref-keshet2010"/>
    <w:p>
      <w:pPr>
        <w:pStyle w:val="Bibliography"/>
      </w:pPr>
      <w:r>
        <w:t xml:space="preserve">124.</w:t>
      </w:r>
      <w:r>
        <w:t xml:space="preserve"> </w:t>
      </w:r>
      <w:r>
        <w:t xml:space="preserve">	</w:t>
      </w:r>
      <w:r>
        <w:t xml:space="preserve">Keshet E.</w:t>
      </w:r>
      <w:r>
        <w:t xml:space="preserve"> </w:t>
      </w:r>
      <w:hyperlink r:id="rId516">
        <w:r>
          <w:rPr>
            <w:rStyle w:val="Hyperlink"/>
          </w:rPr>
          <w:t xml:space="preserve">Situation economy</w:t>
        </w:r>
      </w:hyperlink>
      <w:r>
        <w:t xml:space="preserve"> </w:t>
      </w:r>
      <w:r>
        <w:t xml:space="preserve">// Natural Language Semantics. — 2010. — Vol. 18, no. 4. — P. 385–434.</w:t>
      </w:r>
    </w:p>
    <w:bookmarkEnd w:id="517"/>
    <w:bookmarkStart w:id="518"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18"/>
    <w:bookmarkStart w:id="519" w:name="ref-klein1994"/>
    <w:p>
      <w:pPr>
        <w:pStyle w:val="Bibliography"/>
      </w:pPr>
      <w:r>
        <w:t xml:space="preserve">126.</w:t>
      </w:r>
      <w:r>
        <w:t xml:space="preserve"> </w:t>
      </w:r>
      <w:r>
        <w:t xml:space="preserve">	</w:t>
      </w:r>
      <w:r>
        <w:t xml:space="preserve">Klein W. Time in language. — London: Routledge, 1994.</w:t>
      </w:r>
    </w:p>
    <w:bookmarkEnd w:id="519"/>
    <w:bookmarkStart w:id="520"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20"/>
    <w:bookmarkStart w:id="521"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21"/>
    <w:bookmarkStart w:id="522"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2"/>
    <w:bookmarkStart w:id="523"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3"/>
    <w:bookmarkStart w:id="524"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4"/>
    <w:bookmarkStart w:id="525"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5"/>
    <w:bookmarkStart w:id="526"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6"/>
    <w:bookmarkStart w:id="527"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7"/>
    <w:bookmarkStart w:id="528"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28"/>
    <w:bookmarkStart w:id="529"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29"/>
    <w:bookmarkStart w:id="530"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30"/>
    <w:bookmarkStart w:id="531"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31"/>
    <w:bookmarkStart w:id="532"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2"/>
    <w:bookmarkStart w:id="533"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3"/>
    <w:bookmarkStart w:id="534"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4"/>
    <w:bookmarkStart w:id="535"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5"/>
    <w:bookmarkStart w:id="536"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6"/>
    <w:bookmarkStart w:id="537"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7"/>
    <w:bookmarkStart w:id="538"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38"/>
    <w:bookmarkStart w:id="539"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39"/>
    <w:bookmarkStart w:id="540"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40"/>
    <w:bookmarkStart w:id="541"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41"/>
    <w:bookmarkStart w:id="542"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2"/>
    <w:bookmarkStart w:id="543"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3"/>
    <w:bookmarkStart w:id="544"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4"/>
    <w:bookmarkStart w:id="545"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5"/>
    <w:bookmarkStart w:id="546"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6"/>
    <w:bookmarkStart w:id="547"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7"/>
    <w:bookmarkStart w:id="548"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48"/>
    <w:bookmarkStart w:id="549"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49"/>
    <w:bookmarkStart w:id="550"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50"/>
    <w:bookmarkStart w:id="551"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51"/>
    <w:bookmarkStart w:id="552"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2"/>
    <w:bookmarkStart w:id="554" w:name="ref-zehr2018"/>
    <w:p>
      <w:pPr>
        <w:pStyle w:val="Bibliography"/>
      </w:pPr>
      <w:r>
        <w:t xml:space="preserve">160.</w:t>
      </w:r>
      <w:r>
        <w:t xml:space="preserve"> </w:t>
      </w:r>
      <w:r>
        <w:t xml:space="preserve">	</w:t>
      </w:r>
      <w:r>
        <w:t xml:space="preserve">Zehr J., Schwarz F.</w:t>
      </w:r>
      <w:r>
        <w:t xml:space="preserve"> </w:t>
      </w:r>
      <w:hyperlink r:id="rId553">
        <w:r>
          <w:rPr>
            <w:rStyle w:val="Hyperlink"/>
          </w:rPr>
          <w:t xml:space="preserve">PennController for internet based experiments (IBEX)</w:t>
        </w:r>
      </w:hyperlink>
      <w:r>
        <w:t xml:space="preserve">. — 2018.</w:t>
      </w:r>
    </w:p>
    <w:bookmarkEnd w:id="554"/>
    <w:bookmarkStart w:id="556" w:name="ref-burukina2020"/>
    <w:p>
      <w:pPr>
        <w:pStyle w:val="Bibliography"/>
      </w:pPr>
      <w:r>
        <w:t xml:space="preserve">161.</w:t>
      </w:r>
      <w:r>
        <w:t xml:space="preserve"> </w:t>
      </w:r>
      <w:r>
        <w:t xml:space="preserve">	</w:t>
      </w:r>
      <w:r>
        <w:t xml:space="preserve">Burukina I.</w:t>
      </w:r>
      <w:r>
        <w:t xml:space="preserve"> </w:t>
      </w:r>
      <w:hyperlink r:id="rId555">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6"/>
    <w:bookmarkStart w:id="557"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7"/>
    <w:bookmarkStart w:id="558"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58"/>
    <w:bookmarkStart w:id="559"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59"/>
    <w:bookmarkStart w:id="560"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60"/>
    <w:bookmarkStart w:id="561"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61"/>
    <w:bookmarkStart w:id="562"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2"/>
    <w:bookmarkStart w:id="563"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3"/>
    <w:bookmarkStart w:id="564"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4"/>
    <w:bookmarkStart w:id="565"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5"/>
    <w:bookmarkStart w:id="566"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6"/>
    <w:bookmarkStart w:id="568" w:name="ref-masliukov2024"/>
    <w:p>
      <w:pPr>
        <w:pStyle w:val="Bibliography"/>
      </w:pPr>
      <w:r>
        <w:t xml:space="preserve">172.</w:t>
      </w:r>
      <w:r>
        <w:t xml:space="preserve"> </w:t>
      </w:r>
      <w:r>
        <w:t xml:space="preserve">	</w:t>
      </w:r>
      <w:r>
        <w:t xml:space="preserve">Masliukov V.</w:t>
      </w:r>
      <w:r>
        <w:t xml:space="preserve"> </w:t>
      </w:r>
      <w:hyperlink r:id="rId567">
        <w:r>
          <w:rPr>
            <w:rStyle w:val="Hyperlink"/>
          </w:rPr>
          <w:t xml:space="preserve">Possessive agreement and external possessors in kazym khanty</w:t>
        </w:r>
      </w:hyperlink>
      <w:r>
        <w:t xml:space="preserve"> </w:t>
      </w:r>
      <w:r>
        <w:t xml:space="preserve">/ Syntax of uralic languages 5. — Гамбург, 2024.</w:t>
      </w:r>
    </w:p>
    <w:bookmarkEnd w:id="568"/>
    <w:bookmarkStart w:id="569"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69"/>
    <w:bookmarkStart w:id="570"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70"/>
    <w:bookmarkStart w:id="571"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71"/>
    <w:bookmarkStart w:id="573" w:name="ref-corbett1982"/>
    <w:p>
      <w:pPr>
        <w:pStyle w:val="Bibliography"/>
      </w:pPr>
      <w:r>
        <w:t xml:space="preserve">176.</w:t>
      </w:r>
      <w:r>
        <w:t xml:space="preserve"> </w:t>
      </w:r>
      <w:r>
        <w:t xml:space="preserve">	</w:t>
      </w:r>
      <w:r>
        <w:t xml:space="preserve">Corbett G. G.</w:t>
      </w:r>
      <w:r>
        <w:t xml:space="preserve"> </w:t>
      </w:r>
      <w:hyperlink r:id="rId572">
        <w:r>
          <w:rPr>
            <w:rStyle w:val="Hyperlink"/>
          </w:rPr>
          <w:t xml:space="preserve">Gender in russian: An account of gender specification and its relationship to declension</w:t>
        </w:r>
      </w:hyperlink>
      <w:r>
        <w:t xml:space="preserve"> </w:t>
      </w:r>
      <w:r>
        <w:t xml:space="preserve">// Russian linguistics. — 1982. — Vol. 6. — P. 197–232.</w:t>
      </w:r>
    </w:p>
    <w:bookmarkEnd w:id="573"/>
    <w:bookmarkStart w:id="575" w:name="ref-corbett2023"/>
    <w:p>
      <w:pPr>
        <w:pStyle w:val="Bibliography"/>
      </w:pPr>
      <w:r>
        <w:t xml:space="preserve">177.</w:t>
      </w:r>
      <w:r>
        <w:t xml:space="preserve"> </w:t>
      </w:r>
      <w:r>
        <w:t xml:space="preserve">	</w:t>
      </w:r>
      <w:r>
        <w:t xml:space="preserve">Corbett G. G.</w:t>
      </w:r>
      <w:r>
        <w:t xml:space="preserve"> </w:t>
      </w:r>
      <w:hyperlink r:id="rId574">
        <w:r>
          <w:rPr>
            <w:rStyle w:val="Hyperlink"/>
          </w:rPr>
          <w:t xml:space="preserve">The agreement hierarchy and (generalized) semantic agreement</w:t>
        </w:r>
      </w:hyperlink>
      <w:r>
        <w:t xml:space="preserve"> </w:t>
      </w:r>
      <w:r>
        <w:t xml:space="preserve">// Glossa. — 2023. — Vol. 8. — P. 1–39.</w:t>
      </w:r>
    </w:p>
    <w:bookmarkEnd w:id="575"/>
    <w:bookmarkStart w:id="576"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6"/>
    <w:bookmarkStart w:id="578" w:name="ref-privizentseva2024"/>
    <w:p>
      <w:pPr>
        <w:pStyle w:val="Bibliography"/>
      </w:pPr>
      <w:r>
        <w:t xml:space="preserve">179.</w:t>
      </w:r>
      <w:r>
        <w:t xml:space="preserve"> </w:t>
      </w:r>
      <w:r>
        <w:t xml:space="preserve">	</w:t>
      </w:r>
      <w:r>
        <w:t xml:space="preserve">Privizentseva M.</w:t>
      </w:r>
      <w:r>
        <w:t xml:space="preserve"> </w:t>
      </w:r>
      <w:hyperlink r:id="rId577">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78"/>
    <w:bookmarkStart w:id="579"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79"/>
    <w:bookmarkStart w:id="580" w:name="ref-pereltsvaig2006"/>
    <w:p>
      <w:pPr>
        <w:pStyle w:val="Bibliography"/>
      </w:pPr>
      <w:r>
        <w:t xml:space="preserve">181.</w:t>
      </w:r>
      <w:r>
        <w:t xml:space="preserve"> </w:t>
      </w:r>
      <w:r>
        <w:t xml:space="preserve">	</w:t>
      </w:r>
      <w:r>
        <w:t xml:space="preserve">Pereltsvaig A. Small nominals // Natural Language &amp; Linguistic Theory. — 2006. — Vol. 24, no. 2. — P. 433–500.</w:t>
      </w:r>
    </w:p>
    <w:bookmarkEnd w:id="580"/>
    <w:bookmarkStart w:id="581" w:name="ref-matushansky2015"/>
    <w:p>
      <w:pPr>
        <w:pStyle w:val="Bibliography"/>
      </w:pPr>
      <w:r>
        <w:t xml:space="preserve">182.</w:t>
      </w:r>
      <w:r>
        <w:t xml:space="preserve"> </w:t>
      </w:r>
      <w:r>
        <w:t xml:space="preserve">	</w:t>
      </w:r>
      <w:r>
        <w:t xml:space="preserve">Matushansky O., Ruys E. Measure for measure // Slavic grammar from a formal perspective: The 10th anniversary FDSL conference. — 2015. — P. 317–330.</w:t>
      </w:r>
    </w:p>
    <w:bookmarkEnd w:id="581"/>
    <w:bookmarkStart w:id="582" w:name="ref-rudnev2024"/>
    <w:p>
      <w:pPr>
        <w:pStyle w:val="Bibliography"/>
      </w:pPr>
      <w:r>
        <w:t xml:space="preserve">183.</w:t>
      </w:r>
      <w:r>
        <w:t xml:space="preserve"> </w:t>
      </w:r>
      <w:r>
        <w:t xml:space="preserve">	</w:t>
      </w:r>
      <w:r>
        <w:t xml:space="preserve">Rudnev P. Categorial selection and functional structure in the noun phrase: Revisiting russian small nominals // Russian Linguistics. — 2024. — Vol. 48, no. 1. — P. art. 1.</w:t>
      </w:r>
    </w:p>
    <w:bookmarkEnd w:id="582"/>
    <w:bookmarkStart w:id="583" w:name="ref-toldova2018"/>
    <w:p>
      <w:pPr>
        <w:pStyle w:val="Bibliography"/>
      </w:pPr>
      <w:r>
        <w:t xml:space="preserve">184.</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3"/>
    <w:bookmarkStart w:id="584" w:name="ref-arkhangelsky2021"/>
    <w:p>
      <w:pPr>
        <w:pStyle w:val="Bibliography"/>
      </w:pPr>
      <w:r>
        <w:t xml:space="preserve">185.</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4"/>
    <w:bookmarkStart w:id="585" w:name="ref-Peirce1966"/>
    <w:p>
      <w:pPr>
        <w:pStyle w:val="Bibliography"/>
      </w:pPr>
      <w:r>
        <w:t xml:space="preserve">186.</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5"/>
    <w:bookmarkStart w:id="586" w:name="ref-Haack2005"/>
    <w:p>
      <w:pPr>
        <w:pStyle w:val="Bibliography"/>
      </w:pPr>
      <w:r>
        <w:t xml:space="preserve">187.</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86"/>
    <w:bookmarkStart w:id="587" w:name="ref-Peirce1960a"/>
    <w:p>
      <w:pPr>
        <w:pStyle w:val="Bibliography"/>
      </w:pPr>
      <w:r>
        <w:t xml:space="preserve">188.</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87"/>
    <w:bookmarkStart w:id="588" w:name="ref-Peirce1960b"/>
    <w:p>
      <w:pPr>
        <w:pStyle w:val="Bibliography"/>
      </w:pPr>
      <w:r>
        <w:t xml:space="preserve">189.</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88"/>
    <w:bookmarkStart w:id="589" w:name="ref-lagasselevin2023"/>
    <w:p>
      <w:pPr>
        <w:pStyle w:val="Bibliography"/>
      </w:pPr>
      <w:r>
        <w:t xml:space="preserve">190.</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89"/>
    <w:bookmarkStart w:id="590" w:name="ref-friston2009"/>
    <w:p>
      <w:pPr>
        <w:pStyle w:val="Bibliography"/>
      </w:pPr>
      <w:r>
        <w:t xml:space="preserve">191.</w:t>
      </w:r>
      <w:r>
        <w:t xml:space="preserve"> </w:t>
      </w:r>
      <w:r>
        <w:t xml:space="preserve">	</w:t>
      </w:r>
      <w:r>
        <w:t xml:space="preserve">Friston K. The free-energy principle: A rough guide to the brain? // Trends in cognitive sciences. — Elsevier, 2009. — Vol. 13, no. 7. — P. 293–301.</w:t>
      </w:r>
    </w:p>
    <w:bookmarkEnd w:id="590"/>
    <w:bookmarkStart w:id="591" w:name="ref-friston2010"/>
    <w:p>
      <w:pPr>
        <w:pStyle w:val="Bibliography"/>
      </w:pPr>
      <w:r>
        <w:t xml:space="preserve">192.</w:t>
      </w:r>
      <w:r>
        <w:t xml:space="preserve"> </w:t>
      </w:r>
      <w:r>
        <w:t xml:space="preserve">	</w:t>
      </w:r>
      <w:r>
        <w:t xml:space="preserve">Friston K. The free-energy principle: A unified brain theory? // Nature reviews neuroscience. — Nature publishing group, 2010. — Vol. 11, no. 2. — P. 127–138.</w:t>
      </w:r>
    </w:p>
    <w:bookmarkEnd w:id="591"/>
    <w:bookmarkStart w:id="592" w:name="ref-fristonetal2016"/>
    <w:p>
      <w:pPr>
        <w:pStyle w:val="Bibliography"/>
      </w:pPr>
      <w:r>
        <w:t xml:space="preserve">193.</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2"/>
    <w:bookmarkStart w:id="593" w:name="ref-pietarinenbeni2021"/>
    <w:p>
      <w:pPr>
        <w:pStyle w:val="Bibliography"/>
      </w:pPr>
      <w:r>
        <w:t xml:space="preserve">194.</w:t>
      </w:r>
      <w:r>
        <w:t xml:space="preserve"> </w:t>
      </w:r>
      <w:r>
        <w:t xml:space="preserve">	</w:t>
      </w:r>
      <w:r>
        <w:t xml:space="preserve">Pietarinen A.-V., Beni M. D. Active inference and abduction // Biosemiotics. — Springer, 2021. — Vol. 14, no. 2. — P. 499–517.</w:t>
      </w:r>
    </w:p>
    <w:bookmarkEnd w:id="593"/>
    <w:bookmarkStart w:id="594" w:name="ref-Dawkins1976"/>
    <w:p>
      <w:pPr>
        <w:pStyle w:val="Bibliography"/>
      </w:pPr>
      <w:r>
        <w:t xml:space="preserve">195.</w:t>
      </w:r>
      <w:r>
        <w:t xml:space="preserve"> </w:t>
      </w:r>
      <w:r>
        <w:t xml:space="preserve">	</w:t>
      </w:r>
      <w:r>
        <w:t xml:space="preserve">Dawkins R. The selfish gene. — New York: Oxford University Press, 1976.</w:t>
      </w:r>
    </w:p>
    <w:bookmarkEnd w:id="594"/>
    <w:bookmarkStart w:id="595" w:name="ref-Dawkins2006"/>
    <w:p>
      <w:pPr>
        <w:pStyle w:val="Bibliography"/>
      </w:pPr>
      <w:r>
        <w:t xml:space="preserve">196.</w:t>
      </w:r>
      <w:r>
        <w:t xml:space="preserve"> </w:t>
      </w:r>
      <w:r>
        <w:t xml:space="preserve">	</w:t>
      </w:r>
      <w:r>
        <w:t xml:space="preserve">Dawkins R. The god delusion. — Kent: Transworld Publishers, 2006.</w:t>
      </w:r>
    </w:p>
    <w:bookmarkEnd w:id="595"/>
    <w:bookmarkStart w:id="596" w:name="ref-cannizzaro2016"/>
    <w:p>
      <w:pPr>
        <w:pStyle w:val="Bibliography"/>
      </w:pPr>
      <w:r>
        <w:t xml:space="preserve">197.</w:t>
      </w:r>
      <w:r>
        <w:t xml:space="preserve"> </w:t>
      </w:r>
      <w:r>
        <w:t xml:space="preserve">	</w:t>
      </w:r>
      <w:r>
        <w:t xml:space="preserve">Cannizzaro S. Internet memes as internet signs: A semiotic view of digital culture // Sign Systems Studies. — Tartu: Ulikooli Kirjastus, 2016. — Vol. 44, no. 4. — P. 562–586.</w:t>
      </w:r>
    </w:p>
    <w:bookmarkEnd w:id="596"/>
    <w:bookmarkStart w:id="597" w:name="ref-bellucciburton2020"/>
    <w:p>
      <w:pPr>
        <w:pStyle w:val="Bibliography"/>
      </w:pPr>
      <w:r>
        <w:t xml:space="preserve">198.</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597"/>
    <w:bookmarkStart w:id="598" w:name="ref-belluccipietarinen2016"/>
    <w:p>
      <w:pPr>
        <w:pStyle w:val="Bibliography"/>
      </w:pPr>
      <w:r>
        <w:t xml:space="preserve">199.</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598"/>
    <w:bookmarkStart w:id="599" w:name="ref-bobrovapietarinen2019"/>
    <w:p>
      <w:pPr>
        <w:pStyle w:val="Bibliography"/>
      </w:pPr>
      <w:r>
        <w:t xml:space="preserve">200.</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599"/>
    <w:bookmarkStart w:id="600" w:name="ref-Peirce1960c"/>
    <w:p>
      <w:pPr>
        <w:pStyle w:val="Bibliography"/>
      </w:pPr>
      <w:r>
        <w:t xml:space="preserve">201.</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0"/>
    <w:bookmarkStart w:id="601" w:name="ref-frege1964"/>
    <w:p>
      <w:pPr>
        <w:pStyle w:val="Bibliography"/>
      </w:pPr>
      <w:r>
        <w:t xml:space="preserve">202.</w:t>
      </w:r>
      <w:r>
        <w:t xml:space="preserve"> </w:t>
      </w:r>
      <w:r>
        <w:t xml:space="preserve">	</w:t>
      </w:r>
      <w:r>
        <w:t xml:space="preserve">Frege G. The basic laws of arithmetic. — Berkeley: University of California Press, 1964.</w:t>
      </w:r>
    </w:p>
    <w:bookmarkEnd w:id="601"/>
    <w:bookmarkStart w:id="602" w:name="ref-conant1991"/>
    <w:p>
      <w:pPr>
        <w:pStyle w:val="Bibliography"/>
      </w:pPr>
      <w:r>
        <w:t xml:space="preserve">203.</w:t>
      </w:r>
      <w:r>
        <w:t xml:space="preserve"> </w:t>
      </w:r>
      <w:r>
        <w:t xml:space="preserve">	</w:t>
      </w:r>
      <w:r>
        <w:t xml:space="preserve">Conant J. In search of logical alien thought – descartes, kant, frege and the tractatus // Philosophical Topics. — 1991. — Vol. 20, no. 1. — P. 115–180.</w:t>
      </w:r>
    </w:p>
    <w:bookmarkEnd w:id="602"/>
    <w:bookmarkStart w:id="603" w:name="ref-Kant1994"/>
    <w:p>
      <w:pPr>
        <w:pStyle w:val="Bibliography"/>
      </w:pPr>
      <w:r>
        <w:t xml:space="preserve">204.</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3"/>
    <w:bookmarkStart w:id="604" w:name="ref-quine1960"/>
    <w:p>
      <w:pPr>
        <w:pStyle w:val="Bibliography"/>
      </w:pPr>
      <w:r>
        <w:t xml:space="preserve">205.</w:t>
      </w:r>
      <w:r>
        <w:t xml:space="preserve"> </w:t>
      </w:r>
      <w:r>
        <w:t xml:space="preserve">	</w:t>
      </w:r>
      <w:r>
        <w:t xml:space="preserve">Quine W. V. O. Carnap and logical truth // Synthese. — 1960. — Vol. 12, no. 4. — P. 350–374.</w:t>
      </w:r>
    </w:p>
    <w:bookmarkEnd w:id="604"/>
    <w:bookmarkStart w:id="605" w:name="ref-Achouriotietal2014"/>
    <w:p>
      <w:pPr>
        <w:pStyle w:val="Bibliography"/>
      </w:pPr>
      <w:r>
        <w:t xml:space="preserve">206.</w:t>
      </w:r>
      <w:r>
        <w:t xml:space="preserve"> </w:t>
      </w:r>
      <w:r>
        <w:t xml:space="preserve">	</w:t>
      </w:r>
      <w:r>
        <w:t xml:space="preserve">Achourioti T., Fugard A. J. B., Stenning K. The empirical study of norms is just what we are missing // Frontiers in Psychology. — 2014. — Vol. 5. — P. 1–15.</w:t>
      </w:r>
    </w:p>
    <w:bookmarkEnd w:id="605"/>
    <w:bookmarkStart w:id="606" w:name="ref-Ladov2008"/>
    <w:p>
      <w:pPr>
        <w:pStyle w:val="Bibliography"/>
      </w:pPr>
      <w:r>
        <w:t xml:space="preserve">207.</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06"/>
    <w:bookmarkStart w:id="607" w:name="ref-Ladov2024"/>
    <w:p>
      <w:pPr>
        <w:pStyle w:val="Bibliography"/>
      </w:pPr>
      <w:r>
        <w:t xml:space="preserve">208.</w:t>
      </w:r>
      <w:r>
        <w:t xml:space="preserve"> </w:t>
      </w:r>
      <w:r>
        <w:t xml:space="preserve">	</w:t>
      </w:r>
      <w:r>
        <w:t xml:space="preserve">Ладов В. А. Значение: Реализм vs скептицизм // Эпистемология и философия науки. — 2024. — Т. 61, № 2. — С. 43–50.</w:t>
      </w:r>
    </w:p>
    <w:bookmarkEnd w:id="607"/>
    <w:bookmarkStart w:id="608" w:name="ref-Borisov2024a"/>
    <w:p>
      <w:pPr>
        <w:pStyle w:val="Bibliography"/>
      </w:pPr>
      <w:r>
        <w:t xml:space="preserve">209.</w:t>
      </w:r>
      <w:r>
        <w:t xml:space="preserve"> </w:t>
      </w:r>
      <w:r>
        <w:t xml:space="preserve">	</w:t>
      </w:r>
      <w:r>
        <w:t xml:space="preserve">Борисов Е. В. Прямое решение проблемы крипке // Эпистемология и философия науки. — 2024. — Т. 61, № 2. — С. 23–32.</w:t>
      </w:r>
    </w:p>
    <w:bookmarkEnd w:id="608"/>
    <w:bookmarkStart w:id="609" w:name="ref-Borisov2024b"/>
    <w:p>
      <w:pPr>
        <w:pStyle w:val="Bibliography"/>
      </w:pPr>
      <w:r>
        <w:t xml:space="preserve">210.</w:t>
      </w:r>
      <w:r>
        <w:t xml:space="preserve"> </w:t>
      </w:r>
      <w:r>
        <w:t xml:space="preserve">	</w:t>
      </w:r>
      <w:r>
        <w:t xml:space="preserve">Борисов Е. В. Ответ оппонентам // Эпистемология и философия науки. — 2024. — Т. 61, № 2. — С. 89–94.</w:t>
      </w:r>
    </w:p>
    <w:bookmarkEnd w:id="609"/>
    <w:bookmarkStart w:id="610" w:name="ref-austin1962"/>
    <w:p>
      <w:pPr>
        <w:pStyle w:val="Bibliography"/>
      </w:pPr>
      <w:r>
        <w:t xml:space="preserve">211.</w:t>
      </w:r>
      <w:r>
        <w:t xml:space="preserve"> </w:t>
      </w:r>
      <w:r>
        <w:t xml:space="preserve">	</w:t>
      </w:r>
      <w:r>
        <w:t xml:space="preserve">Austin J. L. How to do things with words. — Oxford: Clarendon Press, 1962.</w:t>
      </w:r>
    </w:p>
    <w:bookmarkEnd w:id="610"/>
    <w:bookmarkStart w:id="611" w:name="ref-ginsborg2012"/>
    <w:p>
      <w:pPr>
        <w:pStyle w:val="Bibliography"/>
      </w:pPr>
      <w:r>
        <w:t xml:space="preserve">212.</w:t>
      </w:r>
      <w:r>
        <w:t xml:space="preserve"> </w:t>
      </w:r>
      <w:r>
        <w:t xml:space="preserve">	</w:t>
      </w:r>
      <w:r>
        <w:t xml:space="preserve">Ginsborg H. Normativity of meaning // Proceedings of the Aristotelian Society. Supplementary Volume. — Oxford University Press, 2012. — Vol. 86. — P. 127–146.</w:t>
      </w:r>
    </w:p>
    <w:bookmarkEnd w:id="611"/>
    <w:bookmarkStart w:id="612" w:name="ref-williamson2022"/>
    <w:p>
      <w:pPr>
        <w:pStyle w:val="Bibliography"/>
      </w:pPr>
      <w:r>
        <w:t xml:space="preserve">213.</w:t>
      </w:r>
      <w:r>
        <w:t xml:space="preserve"> </w:t>
      </w:r>
      <w:r>
        <w:t xml:space="preserve">	</w:t>
      </w:r>
      <w:r>
        <w:t xml:space="preserve">Williamson T. The philosophy of philosophy. Second edition. — Hoboken; Chichester: Wiley-Blackwell, 2022.</w:t>
      </w:r>
    </w:p>
    <w:bookmarkEnd w:id="612"/>
    <w:bookmarkStart w:id="613" w:name="ref-Bacon2018"/>
    <w:p>
      <w:pPr>
        <w:pStyle w:val="Bibliography"/>
      </w:pPr>
      <w:r>
        <w:t xml:space="preserve">214.</w:t>
      </w:r>
      <w:r>
        <w:t xml:space="preserve"> </w:t>
      </w:r>
      <w:r>
        <w:t xml:space="preserve">	</w:t>
      </w:r>
      <w:r>
        <w:t xml:space="preserve">Bacon A. Vagueness and thought. — Oxford: Oxford University Press, 2018.</w:t>
      </w:r>
    </w:p>
    <w:bookmarkEnd w:id="613"/>
    <w:bookmarkStart w:id="614" w:name="ref-Zardini2008a"/>
    <w:p>
      <w:pPr>
        <w:pStyle w:val="Bibliography"/>
      </w:pPr>
      <w:r>
        <w:t xml:space="preserve">215.</w:t>
      </w:r>
      <w:r>
        <w:t xml:space="preserve"> </w:t>
      </w:r>
      <w:r>
        <w:t xml:space="preserve">	</w:t>
      </w:r>
      <w:r>
        <w:t xml:space="preserve">Zardini E. A model of tolerance // Studia Logica. — Springer, 2008. — Vol. 90, no. 3. — P. 337–368.</w:t>
      </w:r>
    </w:p>
    <w:bookmarkEnd w:id="614"/>
    <w:bookmarkStart w:id="615" w:name="ref-Edgington1997"/>
    <w:p>
      <w:pPr>
        <w:pStyle w:val="Bibliography"/>
      </w:pPr>
      <w:r>
        <w:t xml:space="preserve">216.</w:t>
      </w:r>
      <w:r>
        <w:t xml:space="preserve"> </w:t>
      </w:r>
      <w:r>
        <w:t xml:space="preserve">	</w:t>
      </w:r>
      <w:r>
        <w:t xml:space="preserve">Edgington D. Vagueness by degrees // Vagueness: A reader / ed. by Keefe R., Smith P. — Cambridge, MA: MIT Press, 1997. — P. 294–316.</w:t>
      </w:r>
    </w:p>
    <w:bookmarkEnd w:id="615"/>
    <w:bookmarkStart w:id="616" w:name="ref-wright2001"/>
    <w:p>
      <w:pPr>
        <w:pStyle w:val="Bibliography"/>
      </w:pPr>
      <w:r>
        <w:t xml:space="preserve">217.</w:t>
      </w:r>
      <w:r>
        <w:t xml:space="preserve"> </w:t>
      </w:r>
      <w:r>
        <w:t xml:space="preserve">	</w:t>
      </w:r>
      <w:r>
        <w:t xml:space="preserve">Wright C. On being in a quandary. Relativism, vagueness, logical revisionism // Mind. — 2001. — Vol. 110, no. 1. — P. 45–98.</w:t>
      </w:r>
    </w:p>
    <w:bookmarkEnd w:id="616"/>
    <w:bookmarkStart w:id="617" w:name="ref-moltmann2013"/>
    <w:p>
      <w:pPr>
        <w:pStyle w:val="Bibliography"/>
      </w:pPr>
      <w:r>
        <w:t xml:space="preserve">218.</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17"/>
    <w:bookmarkStart w:id="618" w:name="ref-moltmann2020"/>
    <w:p>
      <w:pPr>
        <w:pStyle w:val="Bibliography"/>
      </w:pPr>
      <w:r>
        <w:t xml:space="preserve">219.</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18"/>
    <w:bookmarkStart w:id="619" w:name="ref-moltmann2023"/>
    <w:p>
      <w:pPr>
        <w:pStyle w:val="Bibliography"/>
      </w:pPr>
      <w:r>
        <w:t xml:space="preserve">220.</w:t>
      </w:r>
      <w:r>
        <w:t xml:space="preserve"> </w:t>
      </w:r>
      <w:r>
        <w:t xml:space="preserve">	</w:t>
      </w:r>
      <w:r>
        <w:t xml:space="preserve">Moltmann F. Attitudinal objects and propositions // Routledge handbook of propositions / ed. by Tillman C., Murray A. R. — New York; London: Routledge, 2023. — P. 408–423.</w:t>
      </w:r>
    </w:p>
    <w:bookmarkEnd w:id="619"/>
    <w:bookmarkStart w:id="620" w:name="ref-moltmann2024"/>
    <w:p>
      <w:pPr>
        <w:pStyle w:val="Bibliography"/>
      </w:pPr>
      <w:r>
        <w:t xml:space="preserve">221.</w:t>
      </w:r>
      <w:r>
        <w:t xml:space="preserve"> </w:t>
      </w:r>
      <w:r>
        <w:t xml:space="preserve">	</w:t>
      </w:r>
      <w:r>
        <w:t xml:space="preserve">Moltmann F. Objects and attitudes. — Oxford: Oxford University Press, 2024.</w:t>
      </w:r>
    </w:p>
    <w:bookmarkEnd w:id="620"/>
    <w:bookmarkStart w:id="621" w:name="ref-ross1973"/>
    <w:p>
      <w:pPr>
        <w:pStyle w:val="Bibliography"/>
      </w:pPr>
      <w:r>
        <w:t xml:space="preserve">222.</w:t>
      </w:r>
      <w:r>
        <w:t xml:space="preserve"> </w:t>
      </w:r>
      <w:r>
        <w:t xml:space="preserve">	</w:t>
      </w:r>
      <w:r>
        <w:t xml:space="preserve">Ross J. R. Slifting // The formal analysis of natural languages / ed. by Gross M., Halle M., Schützenberger M.-P. — The Hague; Paris: Mouton de Gruyter, 1973. — P. 133–169.</w:t>
      </w:r>
    </w:p>
    <w:bookmarkEnd w:id="621"/>
    <w:bookmarkStart w:id="622" w:name="ref-Asher2000"/>
    <w:p>
      <w:pPr>
        <w:pStyle w:val="Bibliography"/>
      </w:pPr>
      <w:r>
        <w:t xml:space="preserve">223.</w:t>
      </w:r>
      <w:r>
        <w:t xml:space="preserve"> </w:t>
      </w:r>
      <w:r>
        <w:t xml:space="preserve">	</w:t>
      </w:r>
      <w:r>
        <w:t xml:space="preserve">Asher N. Truth conditional discourse semantics for parentheticals // Journal of Semantics. — 2000. — Vol. 17, no. 1. — P. 31–50.</w:t>
      </w:r>
    </w:p>
    <w:bookmarkEnd w:id="622"/>
    <w:bookmarkStart w:id="623" w:name="ref-Koev2021"/>
    <w:p>
      <w:pPr>
        <w:pStyle w:val="Bibliography"/>
      </w:pPr>
      <w:r>
        <w:t xml:space="preserve">224.</w:t>
      </w:r>
      <w:r>
        <w:t xml:space="preserve"> </w:t>
      </w:r>
      <w:r>
        <w:t xml:space="preserve">	</w:t>
      </w:r>
      <w:r>
        <w:t xml:space="preserve">Koev T. Gradient at-issueness vs. Uncertainty about binary at-issueness // Theoretical Linguistics. — 2021. — Vol. 44. — P. 130–140.</w:t>
      </w:r>
    </w:p>
    <w:bookmarkEnd w:id="623"/>
    <w:bookmarkStart w:id="624" w:name="ref-Jackendoff1972"/>
    <w:p>
      <w:pPr>
        <w:pStyle w:val="Bibliography"/>
      </w:pPr>
      <w:r>
        <w:t xml:space="preserve">225.</w:t>
      </w:r>
      <w:r>
        <w:t xml:space="preserve"> </w:t>
      </w:r>
      <w:r>
        <w:t xml:space="preserve">	</w:t>
      </w:r>
      <w:r>
        <w:t xml:space="preserve">Jackendoff R. S. Semantic interpretation in generative grammar. — Cambridge, Mass.: MIT Press, 1972.</w:t>
      </w:r>
    </w:p>
    <w:bookmarkEnd w:id="624"/>
    <w:bookmarkStart w:id="625" w:name="ref-Roberts1996"/>
    <w:p>
      <w:pPr>
        <w:pStyle w:val="Bibliography"/>
      </w:pPr>
      <w:r>
        <w:t xml:space="preserve">226.</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5"/>
    <w:bookmarkStart w:id="626" w:name="ref-Buring2003"/>
    <w:p>
      <w:pPr>
        <w:pStyle w:val="Bibliography"/>
      </w:pPr>
      <w:r>
        <w:t xml:space="preserve">227.</w:t>
      </w:r>
      <w:r>
        <w:t xml:space="preserve"> </w:t>
      </w:r>
      <w:r>
        <w:t xml:space="preserve">	</w:t>
      </w:r>
      <w:r>
        <w:t xml:space="preserve">Büring D. On d-trees, beans, and b-accents // Linguistics and Philosophy. — 2023. — Vol. 26, no. 5. — P. 511–545.</w:t>
      </w:r>
    </w:p>
    <w:bookmarkEnd w:id="626"/>
    <w:bookmarkStart w:id="627" w:name="ref-Simonsetal2010"/>
    <w:p>
      <w:pPr>
        <w:pStyle w:val="Bibliography"/>
      </w:pPr>
      <w:r>
        <w:t xml:space="preserve">228.</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27"/>
    <w:bookmarkStart w:id="628" w:name="ref-AnderBoisetal2010"/>
    <w:p>
      <w:pPr>
        <w:pStyle w:val="Bibliography"/>
      </w:pPr>
      <w:r>
        <w:t xml:space="preserve">229.</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28"/>
    <w:bookmarkStart w:id="629" w:name="ref-Stalnaker1978"/>
    <w:p>
      <w:pPr>
        <w:pStyle w:val="Bibliography"/>
      </w:pPr>
      <w:r>
        <w:t xml:space="preserve">230.</w:t>
      </w:r>
      <w:r>
        <w:t xml:space="preserve"> </w:t>
      </w:r>
      <w:r>
        <w:t xml:space="preserve">	</w:t>
      </w:r>
      <w:r>
        <w:t xml:space="preserve">Stalnaker R. Assertion // Pragmatics / ed. by Cole P. — New York: Academic Press, 1978. — Vol. 9. — P. 315–332.</w:t>
      </w:r>
    </w:p>
    <w:bookmarkEnd w:id="629"/>
    <w:bookmarkStart w:id="630" w:name="ref-Hooper1975"/>
    <w:p>
      <w:pPr>
        <w:pStyle w:val="Bibliography"/>
      </w:pPr>
      <w:r>
        <w:t xml:space="preserve">231.</w:t>
      </w:r>
      <w:r>
        <w:t xml:space="preserve"> </w:t>
      </w:r>
      <w:r>
        <w:t xml:space="preserve">	</w:t>
      </w:r>
      <w:r>
        <w:t xml:space="preserve">Hooper J. B. On assertive predicates // Syntax and semantics / ed. by Kimball J. P. — Leiden; Boston: BRILL, 1975. — Vol. 4. — P. 91–124.</w:t>
      </w:r>
    </w:p>
    <w:bookmarkEnd w:id="630"/>
    <w:bookmarkStart w:id="631" w:name="ref-FarkasBruce2010"/>
    <w:p>
      <w:pPr>
        <w:pStyle w:val="Bibliography"/>
      </w:pPr>
      <w:r>
        <w:t xml:space="preserve">232.</w:t>
      </w:r>
      <w:r>
        <w:t xml:space="preserve"> </w:t>
      </w:r>
      <w:r>
        <w:t xml:space="preserve">	</w:t>
      </w:r>
      <w:r>
        <w:t xml:space="preserve">Farkas D. F., Bruce K. B. On reacting to assertions and polar questions // Journal of Semantics. — 2010. — Vol. 27. — P. 81–118.</w:t>
      </w:r>
    </w:p>
    <w:bookmarkEnd w:id="631"/>
    <w:bookmarkStart w:id="632" w:name="ref-Bubrich1949"/>
    <w:p>
      <w:pPr>
        <w:pStyle w:val="Bibliography"/>
      </w:pPr>
      <w:r>
        <w:t xml:space="preserve">233.</w:t>
      </w:r>
      <w:r>
        <w:t xml:space="preserve"> </w:t>
      </w:r>
      <w:r>
        <w:t xml:space="preserve">	</w:t>
      </w:r>
      <w:r>
        <w:t xml:space="preserve">Бубрих Д. В. Грамматика литературного коми языка. — Ленинград: ЛГУ им. А. А. Жданова, 1949.</w:t>
      </w:r>
    </w:p>
    <w:bookmarkEnd w:id="632"/>
    <w:bookmarkStart w:id="633" w:name="ref-Serebrennikov1960"/>
    <w:p>
      <w:pPr>
        <w:pStyle w:val="Bibliography"/>
      </w:pPr>
      <w:r>
        <w:t xml:space="preserve">234.</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3"/>
    <w:bookmarkStart w:id="634" w:name="ref-Tsypanov2002"/>
    <w:p>
      <w:pPr>
        <w:pStyle w:val="Bibliography"/>
      </w:pPr>
      <w:r>
        <w:t xml:space="preserve">235.</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4"/>
    <w:bookmarkStart w:id="635" w:name="ref-Tsypanov2005"/>
    <w:p>
      <w:pPr>
        <w:pStyle w:val="Bibliography"/>
      </w:pPr>
      <w:r>
        <w:t xml:space="preserve">236.</w:t>
      </w:r>
      <w:r>
        <w:t xml:space="preserve"> </w:t>
      </w:r>
      <w:r>
        <w:t xml:space="preserve">	</w:t>
      </w:r>
      <w:r>
        <w:t xml:space="preserve">Цыпанов Е. А. Грамматические категории глагола в коми языке. — Сыктывкар, 2005.</w:t>
      </w:r>
    </w:p>
    <w:bookmarkEnd w:id="635"/>
    <w:bookmarkStart w:id="636" w:name="ref-LeinonenTsypanov2007"/>
    <w:p>
      <w:pPr>
        <w:pStyle w:val="Bibliography"/>
      </w:pPr>
      <w:r>
        <w:t xml:space="preserve">237.</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36"/>
    <w:bookmarkStart w:id="637" w:name="ref-Subbota2008"/>
    <w:p>
      <w:pPr>
        <w:pStyle w:val="Bibliography"/>
      </w:pPr>
      <w:r>
        <w:t xml:space="preserve">238.</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37"/>
    <w:bookmarkStart w:id="638" w:name="ref-Leinonen2000"/>
    <w:p>
      <w:pPr>
        <w:pStyle w:val="Bibliography"/>
      </w:pPr>
      <w:r>
        <w:t xml:space="preserve">239.</w:t>
      </w:r>
      <w:r>
        <w:t xml:space="preserve"> </w:t>
      </w:r>
      <w:r>
        <w:t xml:space="preserve">	</w:t>
      </w:r>
      <w:r>
        <w:t xml:space="preserve">Leinonen M. Evidentiality in komi zyryan // Evidentials: Turkic, iranian and neighbouring languages / ed. by Johanson L., Utas B. — Berlin, Boston: De Gruyter Mouton, 2000. — P. 419–440.</w:t>
      </w:r>
    </w:p>
    <w:bookmarkEnd w:id="638"/>
    <w:bookmarkStart w:id="639" w:name="ref-Siegl2004"/>
    <w:p>
      <w:pPr>
        <w:pStyle w:val="Bibliography"/>
      </w:pPr>
      <w:r>
        <w:t xml:space="preserve">240.</w:t>
      </w:r>
      <w:r>
        <w:t xml:space="preserve"> </w:t>
      </w:r>
      <w:r>
        <w:t xml:space="preserve">	</w:t>
      </w:r>
      <w:r>
        <w:t xml:space="preserve">Siegl F. The second past in the permic languages: Form, function, and a comparative analysis from a typological perspective: PhD thesis. — University of Tartu, 2004.</w:t>
      </w:r>
    </w:p>
    <w:bookmarkEnd w:id="639"/>
    <w:bookmarkStart w:id="640" w:name="ref-LeinonenVilkuna2008"/>
    <w:p>
      <w:pPr>
        <w:pStyle w:val="Bibliography"/>
      </w:pPr>
      <w:r>
        <w:t xml:space="preserve">241.</w:t>
      </w:r>
      <w:r>
        <w:t xml:space="preserve"> </w:t>
      </w:r>
      <w:r>
        <w:t xml:space="preserve">	</w:t>
      </w:r>
      <w:r>
        <w:t xml:space="preserve">Leinonen M., Vilkuna M. Past tenses in permic languages // Tense and Aspect in the Languages of Europe. — 2008. — P. 495–514.</w:t>
      </w:r>
    </w:p>
    <w:bookmarkEnd w:id="640"/>
    <w:bookmarkStart w:id="641" w:name="ref-Anderson1986"/>
    <w:p>
      <w:pPr>
        <w:pStyle w:val="Bibliography"/>
      </w:pPr>
      <w:r>
        <w:t xml:space="preserve">242.</w:t>
      </w:r>
      <w:r>
        <w:t xml:space="preserve"> </w:t>
      </w:r>
      <w:r>
        <w:t xml:space="preserve">	</w:t>
      </w:r>
      <w:r>
        <w:t xml:space="preserve">Anderson L. B. Evidentials, paths of change, and mental maps: Typologically regular asymmetries // Advances in Discourse Processes. — 1986. — Vol. 20. — P. 273–312.</w:t>
      </w:r>
    </w:p>
    <w:bookmarkEnd w:id="641"/>
    <w:bookmarkStart w:id="642" w:name="ref-Aikhenvald2004"/>
    <w:p>
      <w:pPr>
        <w:pStyle w:val="Bibliography"/>
      </w:pPr>
      <w:r>
        <w:t xml:space="preserve">243.</w:t>
      </w:r>
      <w:r>
        <w:t xml:space="preserve"> </w:t>
      </w:r>
      <w:r>
        <w:t xml:space="preserve">	</w:t>
      </w:r>
      <w:r>
        <w:t xml:space="preserve">Aikhenvald A. Evidentiality. — Oxford: Oxford University Press, 2004.</w:t>
      </w:r>
    </w:p>
    <w:bookmarkEnd w:id="642"/>
    <w:bookmarkStart w:id="643" w:name="ref-Faller2002"/>
    <w:p>
      <w:pPr>
        <w:pStyle w:val="Bibliography"/>
      </w:pPr>
      <w:r>
        <w:t xml:space="preserve">244.</w:t>
      </w:r>
      <w:r>
        <w:t xml:space="preserve"> </w:t>
      </w:r>
      <w:r>
        <w:t xml:space="preserve">	</w:t>
      </w:r>
      <w:r>
        <w:t xml:space="preserve">Faller M. Semantics and pragmatics of evidentials in cuzco quechua: PhD thesis. — Stanford University, 2002.</w:t>
      </w:r>
    </w:p>
    <w:bookmarkEnd w:id="643"/>
    <w:bookmarkStart w:id="644" w:name="ref-Izvorski1997"/>
    <w:p>
      <w:pPr>
        <w:pStyle w:val="Bibliography"/>
      </w:pPr>
      <w:r>
        <w:t xml:space="preserve">245.</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4"/>
    <w:bookmarkStart w:id="645" w:name="ref-Matthewsonetal2007"/>
    <w:p>
      <w:pPr>
        <w:pStyle w:val="Bibliography"/>
      </w:pPr>
      <w:r>
        <w:t xml:space="preserve">246.</w:t>
      </w:r>
      <w:r>
        <w:t xml:space="preserve"> </w:t>
      </w:r>
      <w:r>
        <w:t xml:space="preserve">	</w:t>
      </w:r>
      <w:r>
        <w:t xml:space="preserve">Matthewson L., Davis H., Rullmann H. Evidentials as epistemic modals: Evidence from st’ ́at’imcets’ // Linguistic Variation Yearbook. — 2007. — Vol. 7. — P. 201–254.</w:t>
      </w:r>
    </w:p>
    <w:bookmarkEnd w:id="645"/>
    <w:bookmarkStart w:id="646" w:name="ref-Murray2010"/>
    <w:p>
      <w:pPr>
        <w:pStyle w:val="Bibliography"/>
      </w:pPr>
      <w:r>
        <w:t xml:space="preserve">247.</w:t>
      </w:r>
      <w:r>
        <w:t xml:space="preserve"> </w:t>
      </w:r>
      <w:r>
        <w:t xml:space="preserve">	</w:t>
      </w:r>
      <w:r>
        <w:t xml:space="preserve">Murray S. Evidentiality and the structure of speech acts: PhD thesis. — Rutgers University, 2010.</w:t>
      </w:r>
    </w:p>
    <w:bookmarkEnd w:id="646"/>
    <w:bookmarkStart w:id="647" w:name="ref-Garrett2001"/>
    <w:p>
      <w:pPr>
        <w:pStyle w:val="Bibliography"/>
      </w:pPr>
      <w:r>
        <w:t xml:space="preserve">248.</w:t>
      </w:r>
      <w:r>
        <w:t xml:space="preserve"> </w:t>
      </w:r>
      <w:r>
        <w:t xml:space="preserve">	</w:t>
      </w:r>
      <w:r>
        <w:t xml:space="preserve">Garrett E. J. Evidentiality and assertion in tibetan: PhD thesis. — UCLA, 2001.</w:t>
      </w:r>
    </w:p>
    <w:bookmarkEnd w:id="647"/>
    <w:bookmarkStart w:id="648" w:name="ref-SauerlandSchenner2007"/>
    <w:p>
      <w:pPr>
        <w:pStyle w:val="Bibliography"/>
      </w:pPr>
      <w:r>
        <w:t xml:space="preserve">249.</w:t>
      </w:r>
      <w:r>
        <w:t xml:space="preserve"> </w:t>
      </w:r>
      <w:r>
        <w:t xml:space="preserve">	</w:t>
      </w:r>
      <w:r>
        <w:t xml:space="preserve">Sauerland U., Schenner M. Embedded evidentials in bulgarian // Proceedings of Sinn und Bedeutung. — 2007. — Vol. 11. — P. 495–509.</w:t>
      </w:r>
    </w:p>
    <w:bookmarkEnd w:id="648"/>
    <w:bookmarkStart w:id="649" w:name="ref-Koev2017"/>
    <w:p>
      <w:pPr>
        <w:pStyle w:val="Bibliography"/>
      </w:pPr>
      <w:r>
        <w:t xml:space="preserve">250.</w:t>
      </w:r>
      <w:r>
        <w:t xml:space="preserve"> </w:t>
      </w:r>
      <w:r>
        <w:t xml:space="preserve">	</w:t>
      </w:r>
      <w:r>
        <w:t xml:space="preserve">Koev T. Evidentiality, learning events, and spatiotemporal distance: The view from bulgarian // Journal of Semantics. — 2017. — Vol. 34, no. 1. — P. 1–41.</w:t>
      </w:r>
    </w:p>
    <w:bookmarkEnd w:id="649"/>
    <w:bookmarkStart w:id="650" w:name="ref-Grice1975"/>
    <w:p>
      <w:pPr>
        <w:pStyle w:val="Bibliography"/>
      </w:pPr>
      <w:r>
        <w:t xml:space="preserve">251.</w:t>
      </w:r>
      <w:r>
        <w:t xml:space="preserve"> </w:t>
      </w:r>
      <w:r>
        <w:t xml:space="preserve">	</w:t>
      </w:r>
      <w:r>
        <w:t xml:space="preserve">Grice P. Logic and conversation // Speech acts / ed. by Cole P., Morgan J. L. — New York: Academic Press, 1975. — Vol. 3. — P. 43–58.</w:t>
      </w:r>
    </w:p>
    <w:bookmarkEnd w:id="650"/>
    <w:bookmarkStart w:id="651" w:name="ref-Murray2014"/>
    <w:p>
      <w:pPr>
        <w:pStyle w:val="Bibliography"/>
      </w:pPr>
      <w:r>
        <w:t xml:space="preserve">252.</w:t>
      </w:r>
      <w:r>
        <w:t xml:space="preserve"> </w:t>
      </w:r>
      <w:r>
        <w:t xml:space="preserve">	</w:t>
      </w:r>
      <w:r>
        <w:t xml:space="preserve">Murray S. Varieties of update // Semantics &amp; Pragmatics. — 2014. — Vol. 7, no. 2. — P. 1–53.</w:t>
      </w:r>
    </w:p>
    <w:bookmarkEnd w:id="651"/>
    <w:bookmarkStart w:id="652" w:name="ref-vonFintelGillies2010"/>
    <w:p>
      <w:pPr>
        <w:pStyle w:val="Bibliography"/>
      </w:pPr>
      <w:r>
        <w:t xml:space="preserve">253.</w:t>
      </w:r>
      <w:r>
        <w:t xml:space="preserve"> </w:t>
      </w:r>
      <w:r>
        <w:t xml:space="preserve">	</w:t>
      </w:r>
      <w:r>
        <w:t xml:space="preserve">Fintel K. von, Gillies A. S. Must... Stay... strong! // Natural Language Semantics. — 2010. — Vol. 18. — P. 350–383.</w:t>
      </w:r>
    </w:p>
    <w:bookmarkEnd w:id="652"/>
    <w:bookmarkStart w:id="653" w:name="ref-AnderBoisetal2015"/>
    <w:p>
      <w:pPr>
        <w:pStyle w:val="Bibliography"/>
      </w:pPr>
      <w:r>
        <w:t xml:space="preserve">254.</w:t>
      </w:r>
      <w:r>
        <w:t xml:space="preserve"> </w:t>
      </w:r>
      <w:r>
        <w:t xml:space="preserve">	</w:t>
      </w:r>
      <w:r>
        <w:t xml:space="preserve">AnderBois S., Brasoveanu A., Henderson R. At-issue proposals and appositive impositions in discourse // Journal of Semantics. — 2015. — Vol. 32, no. 1. — P. 93–138.</w:t>
      </w:r>
    </w:p>
    <w:bookmarkEnd w:id="653"/>
    <w:bookmarkStart w:id="654" w:name="ref-luebbering2013"/>
    <w:p>
      <w:pPr>
        <w:pStyle w:val="Bibliography"/>
      </w:pPr>
      <w:r>
        <w:t xml:space="preserve">255.</w:t>
      </w:r>
      <w:r>
        <w:t xml:space="preserve"> </w:t>
      </w:r>
      <w:r>
        <w:t xml:space="preserve">	</w:t>
      </w:r>
      <w:r>
        <w:t xml:space="preserve">Luebbering C. R. Displaying the geography of language: The cartography of language maps // The Linguistics Journal. — 2013. — Vol. 7, no. 1. — P. 39–67.</w:t>
      </w:r>
    </w:p>
    <w:bookmarkEnd w:id="654"/>
    <w:bookmarkStart w:id="656" w:name="ref-wals"/>
    <w:p>
      <w:pPr>
        <w:pStyle w:val="Bibliography"/>
      </w:pPr>
      <w:r>
        <w:t xml:space="preserve">256.</w:t>
      </w:r>
      <w:r>
        <w:t xml:space="preserve"> </w:t>
      </w:r>
      <w:r>
        <w:t xml:space="preserve">	</w:t>
      </w:r>
      <w:hyperlink r:id="rId655">
        <w:r>
          <w:rPr>
            <w:rStyle w:val="Hyperlink"/>
          </w:rPr>
          <w:t xml:space="preserve">WALS online</w:t>
        </w:r>
      </w:hyperlink>
      <w:r>
        <w:t xml:space="preserve"> </w:t>
      </w:r>
      <w:r>
        <w:t xml:space="preserve">/ ed. by Dryer M. Matthew S. &amp; Haspelmath. — 2013.</w:t>
      </w:r>
    </w:p>
    <w:bookmarkEnd w:id="656"/>
    <w:bookmarkStart w:id="657" w:name="ref-moroz2017"/>
    <w:p>
      <w:pPr>
        <w:pStyle w:val="Bibliography"/>
      </w:pPr>
      <w:r>
        <w:t xml:space="preserve">257.</w:t>
      </w:r>
      <w:r>
        <w:t xml:space="preserve"> </w:t>
      </w:r>
      <w:r>
        <w:t xml:space="preserve">	</w:t>
      </w:r>
      <w:r>
        <w:t xml:space="preserve">Moroz G. Lingtypology: Easy mapping for linguistic typology [r package]. — 2017.</w:t>
      </w:r>
    </w:p>
    <w:bookmarkEnd w:id="657"/>
    <w:bookmarkStart w:id="658" w:name="ref-drude2018"/>
    <w:p>
      <w:pPr>
        <w:pStyle w:val="Bibliography"/>
      </w:pPr>
      <w:r>
        <w:t xml:space="preserve">258.</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58"/>
    <w:bookmarkStart w:id="659" w:name="ref-macaulay2014"/>
    <w:p>
      <w:pPr>
        <w:pStyle w:val="Bibliography"/>
      </w:pPr>
      <w:r>
        <w:t xml:space="preserve">259.</w:t>
      </w:r>
      <w:r>
        <w:t xml:space="preserve"> </w:t>
      </w:r>
      <w:r>
        <w:t xml:space="preserve">	</w:t>
      </w:r>
      <w:r>
        <w:t xml:space="preserve">Macaulay R. K. Linguistic maps: Visual aid or abstract art? // Studies in linguistic geography. — Routledge, 2014. — P. 172–186.</w:t>
      </w:r>
    </w:p>
    <w:bookmarkEnd w:id="659"/>
    <w:bookmarkStart w:id="661" w:name="ref-naccaratoverhees2021"/>
    <w:p>
      <w:pPr>
        <w:pStyle w:val="Bibliography"/>
      </w:pPr>
      <w:r>
        <w:t xml:space="preserve">260.</w:t>
      </w:r>
      <w:r>
        <w:t xml:space="preserve"> </w:t>
      </w:r>
      <w:r>
        <w:t xml:space="preserve">	</w:t>
      </w:r>
      <w:r>
        <w:t xml:space="preserve">Naccarato Chiara S. V.</w:t>
      </w:r>
      <w:r>
        <w:t xml:space="preserve"> </w:t>
      </w:r>
      <w:hyperlink r:id="rId660">
        <w:r>
          <w:rPr>
            <w:rStyle w:val="Hyperlink"/>
          </w:rPr>
          <w:t xml:space="preserve">Morning greetings</w:t>
        </w:r>
      </w:hyperlink>
      <w:r>
        <w:t xml:space="preserve"> </w:t>
      </w:r>
      <w:r>
        <w:t xml:space="preserve">// ed. by Michael Daniel T. M. Konstantin Filatov. — Moscow: Linguistic Convergence Laboratory, 2021.</w:t>
      </w:r>
    </w:p>
    <w:bookmarkEnd w:id="661"/>
    <w:bookmarkStart w:id="662" w:name="ref-meulemansetal2020"/>
    <w:p>
      <w:pPr>
        <w:pStyle w:val="Bibliography"/>
      </w:pPr>
      <w:r>
        <w:t xml:space="preserve">261.</w:t>
      </w:r>
      <w:r>
        <w:t xml:space="preserve"> </w:t>
      </w:r>
      <w:r>
        <w:t xml:space="preserve">	</w:t>
      </w:r>
      <w:r>
        <w:t xml:space="preserve">Meulemans S. W. A simple pipeline for coherent grid maps // IEEE Transactions on Visualization and Computer Graphics. — 2020. — Vol. 27, no. 2. — P. 1236–1246.</w:t>
      </w:r>
    </w:p>
    <w:bookmarkEnd w:id="662"/>
    <w:bookmarkStart w:id="663" w:name="ref-loecherropkins2015"/>
    <w:p>
      <w:pPr>
        <w:pStyle w:val="Bibliography"/>
      </w:pPr>
      <w:r>
        <w:t xml:space="preserve">262.</w:t>
      </w:r>
      <w:r>
        <w:t xml:space="preserve"> </w:t>
      </w:r>
      <w:r>
        <w:t xml:space="preserve">	</w:t>
      </w:r>
      <w:r>
        <w:t xml:space="preserve">Loecher &amp;. R. M. RgoogleMaps and loa: Unleashing r graphics power on map tiles // Journal of Statistical Software. — 2015. — Vol. 63. — P. 1–18.</w:t>
      </w:r>
    </w:p>
    <w:bookmarkEnd w:id="663"/>
    <w:bookmarkStart w:id="664" w:name="ref-mcneillhale2017"/>
    <w:p>
      <w:pPr>
        <w:pStyle w:val="Bibliography"/>
      </w:pPr>
      <w:r>
        <w:t xml:space="preserve">263.</w:t>
      </w:r>
      <w:r>
        <w:t xml:space="preserve"> </w:t>
      </w:r>
      <w:r>
        <w:t xml:space="preserve">	</w:t>
      </w:r>
      <w:r>
        <w:t xml:space="preserve">McNeill &amp;. H. G. Generating tile maps // Computer graphics forum. — 2017. — Vol. 36, no. 3. — P. 435–445.</w:t>
      </w:r>
    </w:p>
    <w:bookmarkEnd w:id="664"/>
    <w:bookmarkStart w:id="665" w:name="ref-peterson2011"/>
    <w:p>
      <w:pPr>
        <w:pStyle w:val="Bibliography"/>
      </w:pPr>
      <w:r>
        <w:t xml:space="preserve">264.</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65"/>
    <w:bookmarkStart w:id="666" w:name="ref-panse2018"/>
    <w:p>
      <w:pPr>
        <w:pStyle w:val="Bibliography"/>
      </w:pPr>
      <w:r>
        <w:t xml:space="preserve">265.</w:t>
      </w:r>
      <w:r>
        <w:t xml:space="preserve"> </w:t>
      </w:r>
      <w:r>
        <w:t xml:space="preserve">	</w:t>
      </w:r>
      <w:r>
        <w:t xml:space="preserve">Panse C. Rectangular statistical cartograms in r: The recmap package // Journal of Statistical Software. — 2018. — Vol. 86. — P. 1–27.</w:t>
      </w:r>
    </w:p>
    <w:bookmarkEnd w:id="666"/>
    <w:bookmarkStart w:id="667" w:name="ref-moroz2021"/>
    <w:p>
      <w:pPr>
        <w:pStyle w:val="Bibliography"/>
      </w:pPr>
      <w:r>
        <w:t xml:space="preserve">266.</w:t>
      </w:r>
      <w:r>
        <w:t xml:space="preserve"> </w:t>
      </w:r>
      <w:r>
        <w:t xml:space="preserve">	</w:t>
      </w:r>
      <w:r>
        <w:t xml:space="preserve">Moroz G. On phonology of east caucasian languages // ed. by Michael Daniel T. M. Konstantin Filatov. — Moscow: Linguistic Convergence Laboratory, 2021.</w:t>
      </w:r>
    </w:p>
    <w:bookmarkEnd w:id="667"/>
    <w:bookmarkStart w:id="668" w:name="ref-GrangerPaquot2010"/>
    <w:p>
      <w:pPr>
        <w:pStyle w:val="Bibliography"/>
      </w:pPr>
      <w:r>
        <w:t xml:space="preserve">267.</w:t>
      </w:r>
      <w:r>
        <w:t xml:space="preserve"> </w:t>
      </w:r>
      <w:r>
        <w:t xml:space="preserve">	</w:t>
      </w:r>
      <w:r>
        <w:t xml:space="preserve">Granger P. S.</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68"/>
    <w:bookmarkStart w:id="669" w:name="ref-GrangerPaquot2015"/>
    <w:p>
      <w:pPr>
        <w:pStyle w:val="Bibliography"/>
      </w:pPr>
      <w:r>
        <w:t xml:space="preserve">268.</w:t>
      </w:r>
      <w:r>
        <w:t xml:space="preserve"> </w:t>
      </w:r>
      <w:r>
        <w:t xml:space="preserve">	</w:t>
      </w:r>
      <w:r>
        <w:t xml:space="preserve">Granger P. S.</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69"/>
    <w:bookmarkStart w:id="670" w:name="ref-Paquot2012"/>
    <w:p>
      <w:pPr>
        <w:pStyle w:val="Bibliography"/>
      </w:pPr>
      <w:r>
        <w:t xml:space="preserve">269.</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0"/>
    <w:bookmarkStart w:id="671" w:name="ref-Biber1999"/>
    <w:p>
      <w:pPr>
        <w:pStyle w:val="Bibliography"/>
      </w:pPr>
      <w:r>
        <w:t xml:space="preserve">270.</w:t>
      </w:r>
      <w:r>
        <w:t xml:space="preserve"> </w:t>
      </w:r>
      <w:r>
        <w:t xml:space="preserve">	</w:t>
      </w:r>
      <w:r>
        <w:t xml:space="preserve">Biber J. D. Longman grammar of spoken and written english. — Longman, 1999.</w:t>
      </w:r>
    </w:p>
    <w:bookmarkEnd w:id="671"/>
    <w:bookmarkStart w:id="672" w:name="ref-Murcia2008"/>
    <w:p>
      <w:pPr>
        <w:pStyle w:val="Bibliography"/>
      </w:pPr>
      <w:r>
        <w:t xml:space="preserve">271.</w:t>
      </w:r>
      <w:r>
        <w:t xml:space="preserve"> </w:t>
      </w:r>
      <w:r>
        <w:t xml:space="preserve">	</w:t>
      </w:r>
      <w:r>
        <w:t xml:space="preserve">Celce-Murcia L.-F. M. The grammar book. — Thomson Learning Ltd., 2008.</w:t>
      </w:r>
    </w:p>
    <w:bookmarkEnd w:id="672"/>
    <w:bookmarkStart w:id="673" w:name="ref-Tsang2017"/>
    <w:p>
      <w:pPr>
        <w:pStyle w:val="Bibliography"/>
      </w:pPr>
      <w:r>
        <w:t xml:space="preserve">272.</w:t>
      </w:r>
      <w:r>
        <w:t xml:space="preserve"> </w:t>
      </w:r>
      <w:r>
        <w:t xml:space="preserve">	</w:t>
      </w:r>
      <w:r>
        <w:t xml:space="preserve">Tsang A. Judgement of countability and plural marking in english by native and non-native english speakers // Language Awareness. — 2017. — Is. 26(4). — P. 343–359.</w:t>
      </w:r>
    </w:p>
    <w:bookmarkEnd w:id="673"/>
    <w:bookmarkStart w:id="674" w:name="ref-Kodera2020"/>
    <w:p>
      <w:pPr>
        <w:pStyle w:val="Bibliography"/>
      </w:pPr>
      <w:r>
        <w:t xml:space="preserve">273.</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74"/>
    <w:bookmarkStart w:id="675" w:name="ref-Fernandez2017"/>
    <w:p>
      <w:pPr>
        <w:pStyle w:val="Bibliography"/>
      </w:pPr>
      <w:r>
        <w:t xml:space="preserve">274.</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75"/>
    <w:bookmarkStart w:id="676" w:name="ref-Fernandez2022"/>
    <w:p>
      <w:pPr>
        <w:pStyle w:val="Bibliography"/>
      </w:pPr>
      <w:r>
        <w:t xml:space="preserve">275.</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76"/>
    <w:bookmarkStart w:id="677" w:name="ref-Gao2016"/>
    <w:p>
      <w:pPr>
        <w:pStyle w:val="Bibliography"/>
      </w:pPr>
      <w:r>
        <w:t xml:space="preserve">276.</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77"/>
    <w:bookmarkStart w:id="678" w:name="ref-Gong2024"/>
    <w:p>
      <w:pPr>
        <w:pStyle w:val="Bibliography"/>
      </w:pPr>
      <w:r>
        <w:t xml:space="preserve">277.</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78"/>
    <w:bookmarkStart w:id="679" w:name="ref-Cohen1988"/>
    <w:p>
      <w:pPr>
        <w:pStyle w:val="Bibliography"/>
      </w:pPr>
      <w:r>
        <w:t xml:space="preserve">278.</w:t>
      </w:r>
      <w:r>
        <w:t xml:space="preserve"> </w:t>
      </w:r>
      <w:r>
        <w:t xml:space="preserve">	</w:t>
      </w:r>
      <w:r>
        <w:t xml:space="preserve">Cohen J. Statistical power analysis for the behavioral sciences (2nd ed.). — Routledge, 1988.</w:t>
      </w:r>
    </w:p>
    <w:bookmarkEnd w:id="679"/>
    <w:bookmarkStart w:id="680" w:name="ref-Morallo2022"/>
    <w:p>
      <w:pPr>
        <w:pStyle w:val="Bibliography"/>
      </w:pPr>
      <w:r>
        <w:t xml:space="preserve">279.</w:t>
      </w:r>
      <w:r>
        <w:t xml:space="preserve"> </w:t>
      </w:r>
      <w:r>
        <w:t xml:space="preserve">	</w:t>
      </w:r>
      <w:r>
        <w:t xml:space="preserve">Morallo A. B. Corpus-based investigation of s-v concord patterns of nouns with latin plural endings // Malaysian Journal of ELT Research. — 2022. — Is. 19(2). — P. 97–116.</w:t>
      </w:r>
    </w:p>
    <w:bookmarkEnd w:id="680"/>
    <w:bookmarkStart w:id="681" w:name="ref-Alsha2005"/>
    <w:p>
      <w:pPr>
        <w:pStyle w:val="Bibliography"/>
      </w:pPr>
      <w:r>
        <w:t xml:space="preserve">280.</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1"/>
    <w:bookmarkStart w:id="682" w:name="ref-Levin2001"/>
    <w:p>
      <w:pPr>
        <w:pStyle w:val="Bibliography"/>
      </w:pPr>
      <w:r>
        <w:t xml:space="preserve">281.</w:t>
      </w:r>
      <w:r>
        <w:t xml:space="preserve"> </w:t>
      </w:r>
      <w:r>
        <w:t xml:space="preserve">	</w:t>
      </w:r>
      <w:r>
        <w:t xml:space="preserve">Levin M. Agreement with collective nouns in english. — Lund: Lund University, 2001.</w:t>
      </w:r>
    </w:p>
    <w:bookmarkEnd w:id="682"/>
    <w:bookmarkStart w:id="683" w:name="ref-Martin2014"/>
    <w:p>
      <w:pPr>
        <w:pStyle w:val="Bibliography"/>
      </w:pPr>
      <w:r>
        <w:t xml:space="preserve">282.</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83"/>
    <w:bookmarkStart w:id="684" w:name="ref-Afros2009"/>
    <w:p>
      <w:pPr>
        <w:pStyle w:val="Bibliography"/>
      </w:pPr>
      <w:r>
        <w:t xml:space="preserve">283.</w:t>
      </w:r>
      <w:r>
        <w:t xml:space="preserve"> </w:t>
      </w:r>
      <w:r>
        <w:t xml:space="preserve">	</w:t>
      </w:r>
      <w:r>
        <w:t xml:space="preserve">Afros S. E. Promotional (meta)discourse in research articles in language and literary studies // English for Specific Purposes. — 2009. — Is. 28(1). — P. 58–68.</w:t>
      </w:r>
    </w:p>
    <w:bookmarkEnd w:id="684"/>
    <w:bookmarkStart w:id="685" w:name="ref-Wang2015"/>
    <w:p>
      <w:pPr>
        <w:pStyle w:val="Bibliography"/>
      </w:pPr>
      <w:r>
        <w:t xml:space="preserve">284.</w:t>
      </w:r>
      <w:r>
        <w:t xml:space="preserve"> </w:t>
      </w:r>
      <w:r>
        <w:t xml:space="preserve">	</w:t>
      </w:r>
      <w:r>
        <w:t xml:space="preserve">Wang Y. W. Claiming centrality as promotion in applied linguistics research article introductions // Journal of English for Academic Purposes. — 2015. — Is. 20. — P. 162–175.</w:t>
      </w:r>
    </w:p>
    <w:bookmarkEnd w:id="685"/>
    <w:bookmarkStart w:id="686" w:name="ref-Cao2021"/>
    <w:p>
      <w:pPr>
        <w:pStyle w:val="Bibliography"/>
      </w:pPr>
      <w:r>
        <w:t xml:space="preserve">285.</w:t>
      </w:r>
      <w:r>
        <w:t xml:space="preserve"> </w:t>
      </w:r>
      <w:r>
        <w:t xml:space="preserve">	</w:t>
      </w:r>
      <w:r>
        <w:t xml:space="preserve">Cao L. X. Promoting science with linguistic devices: A large-scale study of positive and negative words in academic writing // Learned Publishing. — 2021. — Is. 34(2). — P. 82–88.</w:t>
      </w:r>
    </w:p>
    <w:bookmarkEnd w:id="686"/>
    <w:bookmarkStart w:id="687" w:name="ref-Hyland2021"/>
    <w:p>
      <w:pPr>
        <w:pStyle w:val="Bibliography"/>
      </w:pPr>
      <w:r>
        <w:t xml:space="preserve">286.</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87"/>
    <w:bookmarkStart w:id="688" w:name="ref-Xie2023"/>
    <w:p>
      <w:pPr>
        <w:pStyle w:val="Bibliography"/>
      </w:pPr>
      <w:r>
        <w:t xml:space="preserve">287.</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88"/>
    <w:bookmarkStart w:id="689" w:name="ref-Pho2008"/>
    <w:p>
      <w:pPr>
        <w:pStyle w:val="Bibliography"/>
      </w:pPr>
      <w:r>
        <w:t xml:space="preserve">288.</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89"/>
    <w:bookmarkStart w:id="690" w:name="ref-Hyland2008"/>
    <w:p>
      <w:pPr>
        <w:pStyle w:val="Bibliography"/>
      </w:pPr>
      <w:r>
        <w:t xml:space="preserve">289.</w:t>
      </w:r>
      <w:r>
        <w:t xml:space="preserve"> </w:t>
      </w:r>
      <w:r>
        <w:t xml:space="preserve">	</w:t>
      </w:r>
      <w:r>
        <w:t xml:space="preserve">Hyland K. Metadiscourse: Exploring interaction in writing // Continuum. — 2008.</w:t>
      </w:r>
    </w:p>
    <w:bookmarkEnd w:id="690"/>
    <w:bookmarkStart w:id="691" w:name="ref-Bhatia1993"/>
    <w:p>
      <w:pPr>
        <w:pStyle w:val="Bibliography"/>
      </w:pPr>
      <w:r>
        <w:t xml:space="preserve">290.</w:t>
      </w:r>
      <w:r>
        <w:t xml:space="preserve"> </w:t>
      </w:r>
      <w:r>
        <w:t xml:space="preserve">	</w:t>
      </w:r>
      <w:r>
        <w:t xml:space="preserve">Bhatia V. K. Analysing genre: Language use in professional settings. — Longman, 1993.</w:t>
      </w:r>
    </w:p>
    <w:bookmarkEnd w:id="691"/>
    <w:bookmarkStart w:id="692" w:name="ref-Hyland2005"/>
    <w:p>
      <w:pPr>
        <w:pStyle w:val="Bibliography"/>
      </w:pPr>
      <w:r>
        <w:t xml:space="preserve">291.</w:t>
      </w:r>
      <w:r>
        <w:t xml:space="preserve"> </w:t>
      </w:r>
      <w:r>
        <w:t xml:space="preserve">	</w:t>
      </w:r>
      <w:r>
        <w:t xml:space="preserve">Hyland K. Stance and engagement: A model of interaction in academic discourse // Discourse Studies. — 2005. — Is. 7(2). — P. 173–192.</w:t>
      </w:r>
    </w:p>
    <w:bookmarkEnd w:id="692"/>
    <w:bookmarkStart w:id="693" w:name="ref-Grieve2023"/>
    <w:p>
      <w:pPr>
        <w:pStyle w:val="Bibliography"/>
      </w:pPr>
      <w:r>
        <w:t xml:space="preserve">292.</w:t>
      </w:r>
      <w:r>
        <w:t xml:space="preserve"> </w:t>
      </w:r>
      <w:r>
        <w:t xml:space="preserve">	</w:t>
      </w:r>
      <w:r>
        <w:t xml:space="preserve">Grieve W. J. The language of fake news. Elements in forensic linguistics. — Cambridge: Cambridge University Press, 2023.</w:t>
      </w:r>
    </w:p>
    <w:bookmarkEnd w:id="693"/>
    <w:bookmarkStart w:id="694" w:name="ref-Piskorski2023"/>
    <w:p>
      <w:pPr>
        <w:pStyle w:val="Bibliography"/>
      </w:pPr>
      <w:r>
        <w:t xml:space="preserve">293.</w:t>
      </w:r>
      <w:r>
        <w:t xml:space="preserve"> </w:t>
      </w:r>
      <w:r>
        <w:t xml:space="preserve">	</w:t>
      </w:r>
      <w:r>
        <w:t xml:space="preserve">Piskorski S. J. Multilingual multifaceted understanding of online news in terms of genre, framing, and persuasion techniques. — 2023. — P. 3001–3022.</w:t>
      </w:r>
    </w:p>
    <w:bookmarkEnd w:id="694"/>
    <w:bookmarkStart w:id="695" w:name="ref-DSM2019"/>
    <w:p>
      <w:pPr>
        <w:pStyle w:val="Bibliography"/>
      </w:pPr>
      <w:r>
        <w:t xml:space="preserve">294.</w:t>
      </w:r>
      <w:r>
        <w:t xml:space="preserve"> </w:t>
      </w:r>
      <w:r>
        <w:t xml:space="preserve">	</w:t>
      </w:r>
      <w:r>
        <w:t xml:space="preserve">Da San Martino Y. G. Fine-grained analysis of propaganda in news articles // ed. by Inui J. K. — Hong Kong, China: Association for Computational Linguistics., 2019. — P. 5636–5646.</w:t>
      </w:r>
    </w:p>
    <w:bookmarkEnd w:id="695"/>
    <w:bookmarkStart w:id="696" w:name="ref-Jewett2006"/>
    <w:p>
      <w:pPr>
        <w:pStyle w:val="Bibliography"/>
      </w:pPr>
      <w:r>
        <w:t xml:space="preserve">295.</w:t>
      </w:r>
      <w:r>
        <w:t xml:space="preserve"> </w:t>
      </w:r>
      <w:r>
        <w:t xml:space="preserve">	</w:t>
      </w:r>
      <w:r>
        <w:t xml:space="preserve">Jowett O. G. Propaganda and persuasion. — Thousand Oaks: Sage, 2006.</w:t>
      </w:r>
    </w:p>
    <w:bookmarkEnd w:id="696"/>
    <w:bookmarkStart w:id="697" w:name="ref-Dayter2025a"/>
    <w:p>
      <w:pPr>
        <w:pStyle w:val="Bibliography"/>
      </w:pPr>
      <w:r>
        <w:t xml:space="preserve">296.</w:t>
      </w:r>
      <w:r>
        <w:t xml:space="preserve"> </w:t>
      </w:r>
      <w:r>
        <w:t xml:space="preserve">	</w:t>
      </w:r>
      <w:r>
        <w:t xml:space="preserve">Dayter R. D. Corpus linguistics and persuasion // ed. by Nesi M. H. — Amsterdam: Elsevier, 2025a.</w:t>
      </w:r>
    </w:p>
    <w:bookmarkEnd w:id="697"/>
    <w:bookmarkStart w:id="698" w:name="ref-Dayter2025b"/>
    <w:p>
      <w:pPr>
        <w:pStyle w:val="Bibliography"/>
      </w:pPr>
      <w:r>
        <w:t xml:space="preserve">297.</w:t>
      </w:r>
      <w:r>
        <w:t xml:space="preserve"> </w:t>
      </w:r>
      <w:r>
        <w:t xml:space="preserve">	</w:t>
      </w:r>
      <w:r>
        <w:t xml:space="preserve">Dayter R. D. Persuasion and influence in linguistic research // ed. by Rüdiger D. S. — Cambridge: Cambridge University Press, 2025b. — P. 3–18.</w:t>
      </w:r>
    </w:p>
    <w:bookmarkEnd w:id="698"/>
    <w:bookmarkStart w:id="699" w:name="ref-Lakoff1982"/>
    <w:p>
      <w:pPr>
        <w:pStyle w:val="Bibliography"/>
      </w:pPr>
      <w:r>
        <w:t xml:space="preserve">298.</w:t>
      </w:r>
      <w:r>
        <w:t xml:space="preserve"> </w:t>
      </w:r>
      <w:r>
        <w:t xml:space="preserve">	</w:t>
      </w:r>
      <w:r>
        <w:t xml:space="preserve">Lakoff R. Persuasive discourse and ordinary conversation, with examples from advertising / ed. by Tannen D. — Washington: Georgetown University Press, 1982. — P. 25–42.</w:t>
      </w:r>
    </w:p>
    <w:bookmarkEnd w:id="699"/>
    <w:bookmarkStart w:id="700" w:name="ref-Faircough2010"/>
    <w:p>
      <w:pPr>
        <w:pStyle w:val="Bibliography"/>
      </w:pPr>
      <w:r>
        <w:t xml:space="preserve">299.</w:t>
      </w:r>
      <w:r>
        <w:t xml:space="preserve"> </w:t>
      </w:r>
      <w:r>
        <w:t xml:space="preserve">	</w:t>
      </w:r>
      <w:r>
        <w:t xml:space="preserve">Fairclough N. Critical discourse analysis: The critical study of language. 2nd ed. — London: Routledge, 2010.</w:t>
      </w:r>
    </w:p>
    <w:bookmarkEnd w:id="700"/>
    <w:bookmarkStart w:id="701" w:name="ref-Austin1962"/>
    <w:p>
      <w:pPr>
        <w:pStyle w:val="Bibliography"/>
      </w:pPr>
      <w:r>
        <w:t xml:space="preserve">300.</w:t>
      </w:r>
      <w:r>
        <w:t xml:space="preserve"> </w:t>
      </w:r>
      <w:r>
        <w:t xml:space="preserve">	</w:t>
      </w:r>
      <w:r>
        <w:t xml:space="preserve">Austin J. L. How to do things with words: The william james lectures delivered at harvard university. — Cambridge, M.A.: Harvard University Press, 1962.</w:t>
      </w:r>
    </w:p>
    <w:bookmarkEnd w:id="701"/>
    <w:bookmarkStart w:id="702" w:name="ref-Koteyko2015"/>
    <w:p>
      <w:pPr>
        <w:pStyle w:val="Bibliography"/>
      </w:pPr>
      <w:r>
        <w:t xml:space="preserve">301.</w:t>
      </w:r>
      <w:r>
        <w:t xml:space="preserve"> </w:t>
      </w:r>
      <w:r>
        <w:t xml:space="preserve">	</w:t>
      </w:r>
      <w:r>
        <w:t xml:space="preserve">Koteyko I. The language of press advertising in the UK: A multi-dimensional study // Journal of English Linguistics. — 2015. — Is. 43(4). — P. 259–283.</w:t>
      </w:r>
    </w:p>
    <w:bookmarkEnd w:id="702"/>
    <w:bookmarkStart w:id="703" w:name="ref-Kuiken2017"/>
    <w:p>
      <w:pPr>
        <w:pStyle w:val="Bibliography"/>
      </w:pPr>
      <w:r>
        <w:t xml:space="preserve">302.</w:t>
      </w:r>
      <w:r>
        <w:t xml:space="preserve"> </w:t>
      </w:r>
      <w:r>
        <w:t xml:space="preserve">	</w:t>
      </w:r>
      <w:r>
        <w:t xml:space="preserve">Kuiken S. J. Effective headlines of newspaper articles in a digital environment // Digital Journalism. — 2017. — Is. 5(10). — P. 1300–1314.</w:t>
      </w:r>
    </w:p>
    <w:bookmarkEnd w:id="703"/>
    <w:bookmarkStart w:id="704" w:name="ref-Garassino2024"/>
    <w:p>
      <w:pPr>
        <w:pStyle w:val="Bibliography"/>
      </w:pPr>
      <w:r>
        <w:t xml:space="preserve">303.</w:t>
      </w:r>
      <w:r>
        <w:t xml:space="preserve"> </w:t>
      </w:r>
      <w:r>
        <w:t xml:space="preserve">	</w:t>
      </w:r>
      <w:r>
        <w:t xml:space="preserve">Garassino M. D. Politicians vs ChatGPT: A study of presuppositions in french and italian political communication // AI-Linguistica. — 2024. — Is. 1(1).</w:t>
      </w:r>
    </w:p>
    <w:bookmarkEnd w:id="704"/>
    <w:bookmarkStart w:id="705" w:name="ref-Giora2015"/>
    <w:p>
      <w:pPr>
        <w:pStyle w:val="Bibliography"/>
      </w:pPr>
      <w:r>
        <w:t xml:space="preserve">304.</w:t>
      </w:r>
      <w:r>
        <w:t xml:space="preserve"> </w:t>
      </w:r>
      <w:r>
        <w:t xml:space="preserve">	</w:t>
      </w:r>
      <w:r>
        <w:t xml:space="preserve">Giora G. R. Defaultness reigns: The case of sarcasm // Metaphor &amp; Symbol. — 2015. — Is. 30(4). — P. 290–313.</w:t>
      </w:r>
    </w:p>
    <w:bookmarkEnd w:id="705"/>
    <w:bookmarkStart w:id="706" w:name="ref-Charteris2011"/>
    <w:p>
      <w:pPr>
        <w:pStyle w:val="Bibliography"/>
      </w:pPr>
      <w:r>
        <w:t xml:space="preserve">305.</w:t>
      </w:r>
      <w:r>
        <w:t xml:space="preserve"> </w:t>
      </w:r>
      <w:r>
        <w:t xml:space="preserve">	</w:t>
      </w:r>
      <w:r>
        <w:t xml:space="preserve">Charteris-Black J. Politicians and rhetoric: The persuasive power of metaphor. — London: Palgrave Macmillan, 2011.</w:t>
      </w:r>
    </w:p>
    <w:bookmarkEnd w:id="706"/>
    <w:bookmarkStart w:id="707" w:name="ref-Claridge2018"/>
    <w:p>
      <w:pPr>
        <w:pStyle w:val="Bibliography"/>
      </w:pPr>
      <w:r>
        <w:t xml:space="preserve">306.</w:t>
      </w:r>
      <w:r>
        <w:t xml:space="preserve"> </w:t>
      </w:r>
      <w:r>
        <w:t xml:space="preserve">	</w:t>
      </w:r>
      <w:r>
        <w:t xml:space="preserve">Claridge C. Lying, metaphor, and hyperbole // ed. by Meibauer J. — Oxford: Oxford University Press, 2018. — P. 370–381.</w:t>
      </w:r>
    </w:p>
    <w:bookmarkEnd w:id="707"/>
    <w:bookmarkStart w:id="708" w:name="ref-Cruse2004"/>
    <w:p>
      <w:pPr>
        <w:pStyle w:val="Bibliography"/>
      </w:pPr>
      <w:r>
        <w:t xml:space="preserve">307.</w:t>
      </w:r>
      <w:r>
        <w:t xml:space="preserve"> </w:t>
      </w:r>
      <w:r>
        <w:t xml:space="preserve">	</w:t>
      </w:r>
      <w:r>
        <w:t xml:space="preserve">Cruse A. Meaning in language: An introduction to semantics and pragmatics. — Oxford: Oxford University Press, 2004.</w:t>
      </w:r>
    </w:p>
    <w:bookmarkEnd w:id="708"/>
    <w:bookmarkStart w:id="709" w:name="ref-Benali2021"/>
    <w:p>
      <w:pPr>
        <w:pStyle w:val="Bibliography"/>
      </w:pPr>
      <w:r>
        <w:t xml:space="preserve">308.</w:t>
      </w:r>
      <w:r>
        <w:t xml:space="preserve"> </w:t>
      </w:r>
      <w:r>
        <w:t xml:space="preserve">	</w:t>
      </w:r>
      <w:r>
        <w:t xml:space="preserve">Benali A. The impact of using automated writing feedback in ESL/EFL classroom contexts // English Language Teaching. — 2021. — Is. 14(12). — P. 189.</w:t>
      </w:r>
    </w:p>
    <w:bookmarkEnd w:id="709"/>
    <w:bookmarkStart w:id="710" w:name="ref-Wang2020"/>
    <w:p>
      <w:pPr>
        <w:pStyle w:val="Bibliography"/>
      </w:pPr>
      <w:r>
        <w:t xml:space="preserve">309.</w:t>
      </w:r>
      <w:r>
        <w:t xml:space="preserve"> </w:t>
      </w:r>
      <w:r>
        <w:t xml:space="preserve">	</w:t>
      </w:r>
      <w:r>
        <w:t xml:space="preserve">Wang M. E. L. eRevis(ing): Students’ revision of text evidence use in an automated writing evaluation system // Assessing Writing. — 2020. — Is. 44. — P. 100449.</w:t>
      </w:r>
    </w:p>
    <w:bookmarkEnd w:id="710"/>
    <w:bookmarkStart w:id="711" w:name="ref-Woodworth2020"/>
    <w:p>
      <w:pPr>
        <w:pStyle w:val="Bibliography"/>
      </w:pPr>
      <w:r>
        <w:t xml:space="preserve">310.</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1"/>
    <w:bookmarkStart w:id="712" w:name="ref-Yuan2021"/>
    <w:p>
      <w:pPr>
        <w:pStyle w:val="Bibliography"/>
      </w:pPr>
      <w:r>
        <w:t xml:space="preserve">311.</w:t>
      </w:r>
      <w:r>
        <w:t xml:space="preserve"> </w:t>
      </w:r>
      <w:r>
        <w:t xml:space="preserve">	</w:t>
      </w:r>
      <w:r>
        <w:t xml:space="preserve">Yuan T. Z. Multi-class grammatical error detection for correction: A tale of two systems. — 2021. — P. 8722–8736.</w:t>
      </w:r>
    </w:p>
    <w:bookmarkEnd w:id="712"/>
    <w:bookmarkStart w:id="713" w:name="ref-Clark2020"/>
    <w:p>
      <w:pPr>
        <w:pStyle w:val="Bibliography"/>
      </w:pPr>
      <w:r>
        <w:t xml:space="preserve">312.</w:t>
      </w:r>
      <w:r>
        <w:t xml:space="preserve"> </w:t>
      </w:r>
      <w:r>
        <w:t xml:space="preserve">	</w:t>
      </w:r>
      <w:r>
        <w:t xml:space="preserve">Clark L. K. ELECTRA: Pre-training text encoders as discriminators rather than generators. Version number: 1. — 2020.</w:t>
      </w:r>
    </w:p>
    <w:bookmarkEnd w:id="713"/>
    <w:bookmarkStart w:id="714" w:name="ref-Raffel2023"/>
    <w:p>
      <w:pPr>
        <w:pStyle w:val="Bibliography"/>
      </w:pPr>
      <w:r>
        <w:t xml:space="preserve">313.</w:t>
      </w:r>
      <w:r>
        <w:t xml:space="preserve"> </w:t>
      </w:r>
      <w:r>
        <w:t xml:space="preserve">	</w:t>
      </w:r>
      <w:r>
        <w:t xml:space="preserve">Raffel S. C. Exploring the limits of transfer learning with a unified text-to-text transformer. — 2023.</w:t>
      </w:r>
    </w:p>
    <w:bookmarkEnd w:id="714"/>
    <w:bookmarkStart w:id="715" w:name="ref-Rothe2021"/>
    <w:p>
      <w:pPr>
        <w:pStyle w:val="Bibliography"/>
      </w:pPr>
      <w:r>
        <w:t xml:space="preserve">314.</w:t>
      </w:r>
      <w:r>
        <w:t xml:space="preserve"> </w:t>
      </w:r>
      <w:r>
        <w:t xml:space="preserve">	</w:t>
      </w:r>
      <w:r>
        <w:t xml:space="preserve">Rothe M. S. A simple recipe for multilingual grammatical error correction // ed. by Zong X. C., Navigli R. — 2021. — P. 702–707.</w:t>
      </w:r>
    </w:p>
    <w:bookmarkEnd w:id="715"/>
    <w:bookmarkStart w:id="716" w:name="ref-Vinogradova2022"/>
    <w:p>
      <w:pPr>
        <w:pStyle w:val="Bibliography"/>
      </w:pPr>
      <w:r>
        <w:t xml:space="preserve">315.</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16"/>
    <w:bookmarkStart w:id="717" w:name="ref-Touvron2023"/>
    <w:p>
      <w:pPr>
        <w:pStyle w:val="Bibliography"/>
      </w:pPr>
      <w:r>
        <w:t xml:space="preserve">316.</w:t>
      </w:r>
      <w:r>
        <w:t xml:space="preserve"> </w:t>
      </w:r>
      <w:r>
        <w:t xml:space="preserve">	</w:t>
      </w:r>
      <w:r>
        <w:t xml:space="preserve">Touvron L. H., Lample G. Llama: Open and efficient foundation language models. — 2023.</w:t>
      </w:r>
    </w:p>
    <w:bookmarkEnd w:id="717"/>
    <w:bookmarkStart w:id="718" w:name="ref-Vinogradova2017"/>
    <w:p>
      <w:pPr>
        <w:pStyle w:val="Bibliography"/>
      </w:pPr>
      <w:r>
        <w:t xml:space="preserve">317.</w:t>
      </w:r>
      <w:r>
        <w:t xml:space="preserve"> </w:t>
      </w:r>
      <w:r>
        <w:t xml:space="preserve">	</w:t>
      </w:r>
      <w:r>
        <w:t xml:space="preserve">Vinogradova L. O. The design of tests with multiple choice questions automatically generated from essays in a learner corpus // SSRN Electronic Journal. — 2017.</w:t>
      </w:r>
    </w:p>
    <w:bookmarkEnd w:id="718"/>
    <w:bookmarkStart w:id="719" w:name="ref-Gerdes2021"/>
    <w:p>
      <w:pPr>
        <w:pStyle w:val="Bibliography"/>
      </w:pPr>
      <w:r>
        <w:t xml:space="preserve">318.</w:t>
      </w:r>
      <w:r>
        <w:t xml:space="preserve"> </w:t>
      </w:r>
      <w:r>
        <w:t xml:space="preserve">	</w:t>
      </w:r>
      <w:r>
        <w:t xml:space="preserve">Gerdes K. X. C. Sylvain K. Typometrics: From implicational to quantitative universals in word order typology // Glossa: a journal of general linguistics. — 2021. — Is. 6(1). — P. 1–31.</w:t>
      </w:r>
    </w:p>
    <w:bookmarkEnd w:id="719"/>
    <w:bookmarkStart w:id="720" w:name="ref-Kolmogorova2025"/>
    <w:p>
      <w:pPr>
        <w:pStyle w:val="Bibliography"/>
      </w:pPr>
      <w:r>
        <w:t xml:space="preserve">319.</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0"/>
    <w:bookmarkStart w:id="722" w:name="ref-Lin2024"/>
    <w:p>
      <w:pPr>
        <w:pStyle w:val="Bibliography"/>
      </w:pPr>
      <w:r>
        <w:t xml:space="preserve">320.</w:t>
      </w:r>
      <w:r>
        <w:t xml:space="preserve"> </w:t>
      </w:r>
      <w:r>
        <w:t xml:space="preserve">	</w:t>
      </w:r>
      <w:r>
        <w:t xml:space="preserve">Lin C. Z.</w:t>
      </w:r>
      <w:r>
        <w:t xml:space="preserve"> </w:t>
      </w:r>
      <w:hyperlink r:id="rId721">
        <w:r>
          <w:rPr>
            <w:rStyle w:val="Hyperlink"/>
          </w:rPr>
          <w:t xml:space="preserve">Revisiting the role of language priors in vision-language models</w:t>
        </w:r>
      </w:hyperlink>
      <w:r>
        <w:t xml:space="preserve">. — 2024.</w:t>
      </w:r>
    </w:p>
    <w:bookmarkEnd w:id="722"/>
    <w:bookmarkStart w:id="723" w:name="ref-Subbiah2024"/>
    <w:p>
      <w:pPr>
        <w:pStyle w:val="Bibliography"/>
      </w:pPr>
      <w:r>
        <w:t xml:space="preserve">321.</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23"/>
    <w:bookmarkStart w:id="724" w:name="ref-SHmid2003"/>
    <w:p>
      <w:pPr>
        <w:pStyle w:val="Bibliography"/>
      </w:pPr>
      <w:r>
        <w:t xml:space="preserve">322.</w:t>
      </w:r>
      <w:r>
        <w:t xml:space="preserve"> </w:t>
      </w:r>
      <w:r>
        <w:t xml:space="preserve">	</w:t>
      </w:r>
      <w:r>
        <w:t xml:space="preserve">Шмид В. Нарратология. — Москва: Яз. славян. культуры : Кошелев, 2003. — С. 311.</w:t>
      </w:r>
    </w:p>
    <w:bookmarkEnd w:id="724"/>
    <w:bookmarkStart w:id="726" w:name="ref-Lin2004"/>
    <w:p>
      <w:pPr>
        <w:pStyle w:val="Bibliography"/>
      </w:pPr>
      <w:r>
        <w:t xml:space="preserve">323.</w:t>
      </w:r>
      <w:r>
        <w:t xml:space="preserve"> </w:t>
      </w:r>
      <w:r>
        <w:t xml:space="preserve">	</w:t>
      </w:r>
      <w:r>
        <w:t xml:space="preserve">Lin C.-Y.</w:t>
      </w:r>
      <w:r>
        <w:t xml:space="preserve"> </w:t>
      </w:r>
      <w:hyperlink r:id="rId725">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26"/>
    <w:bookmarkStart w:id="728" w:name="ref-Papineni2002"/>
    <w:p>
      <w:pPr>
        <w:pStyle w:val="Bibliography"/>
      </w:pPr>
      <w:r>
        <w:t xml:space="preserve">324.</w:t>
      </w:r>
      <w:r>
        <w:t xml:space="preserve"> </w:t>
      </w:r>
      <w:r>
        <w:t xml:space="preserve">	</w:t>
      </w:r>
      <w:r>
        <w:t xml:space="preserve">al. P. et.</w:t>
      </w:r>
      <w:r>
        <w:t xml:space="preserve"> </w:t>
      </w:r>
      <w:hyperlink r:id="rId727">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28"/>
    <w:bookmarkStart w:id="730" w:name="ref-Zhang2019"/>
    <w:p>
      <w:pPr>
        <w:pStyle w:val="Bibliography"/>
      </w:pPr>
      <w:r>
        <w:t xml:space="preserve">325.</w:t>
      </w:r>
      <w:r>
        <w:t xml:space="preserve"> </w:t>
      </w:r>
      <w:r>
        <w:t xml:space="preserve">	</w:t>
      </w:r>
      <w:hyperlink r:id="rId729">
        <w:r>
          <w:rPr>
            <w:rStyle w:val="Hyperlink"/>
          </w:rPr>
          <w:t xml:space="preserve">Zhang T., Kishore V., Wu F., Weinberger K. Q., Artzi Y. // ArXiv. — 2019. — Vol. abs/1904.09675</w:t>
        </w:r>
      </w:hyperlink>
      <w:r>
        <w:t xml:space="preserve">.</w:t>
      </w:r>
    </w:p>
    <w:bookmarkEnd w:id="730"/>
    <w:bookmarkStart w:id="731" w:name="ref-Bogdanova-Beglarian2016a"/>
    <w:p>
      <w:pPr>
        <w:pStyle w:val="Bibliography"/>
      </w:pPr>
      <w:r>
        <w:t xml:space="preserve">326.</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1"/>
    <w:bookmarkStart w:id="732" w:name="ref-Karpov2012"/>
    <w:p>
      <w:pPr>
        <w:pStyle w:val="Bibliography"/>
      </w:pPr>
      <w:r>
        <w:t xml:space="preserve">327.</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32"/>
    <w:bookmarkStart w:id="733" w:name="ref-Sherstinova2024a"/>
    <w:p>
      <w:pPr>
        <w:pStyle w:val="Bibliography"/>
      </w:pPr>
      <w:r>
        <w:t xml:space="preserve">328.</w:t>
      </w:r>
      <w:r>
        <w:t xml:space="preserve"> </w:t>
      </w:r>
      <w:r>
        <w:t xml:space="preserve">	</w:t>
      </w:r>
      <w:r>
        <w:t xml:space="preserve">Sherstinova M. T. Bridging gaps in russian language processing: AI and everyday conversations / 35th conference of open innovations association (FRUCT). — 2024. — P. 253–258.</w:t>
      </w:r>
    </w:p>
    <w:bookmarkEnd w:id="733"/>
    <w:bookmarkStart w:id="735" w:name="ref-Bredin"/>
    <w:p>
      <w:pPr>
        <w:pStyle w:val="Bibliography"/>
      </w:pPr>
      <w:r>
        <w:t xml:space="preserve">329.</w:t>
      </w:r>
      <w:r>
        <w:t xml:space="preserve"> </w:t>
      </w:r>
      <w:r>
        <w:t xml:space="preserve">	</w:t>
      </w:r>
      <w:r>
        <w:t xml:space="preserve">al. H. B. et.</w:t>
      </w:r>
      <w:r>
        <w:t xml:space="preserve"> </w:t>
      </w:r>
      <w:hyperlink r:id="rId734">
        <w:r>
          <w:rPr>
            <w:rStyle w:val="Hyperlink"/>
          </w:rPr>
          <w:t xml:space="preserve">Pyannote.audio: Neural building blocks for speaker diarization</w:t>
        </w:r>
      </w:hyperlink>
      <w:r>
        <w:t xml:space="preserve">.</w:t>
      </w:r>
    </w:p>
    <w:bookmarkEnd w:id="735"/>
    <w:bookmarkStart w:id="736" w:name="ref-TSvetkova1988"/>
    <w:p>
      <w:pPr>
        <w:pStyle w:val="Bibliography"/>
      </w:pPr>
      <w:r>
        <w:t xml:space="preserve">330.</w:t>
      </w:r>
      <w:r>
        <w:t xml:space="preserve"> </w:t>
      </w:r>
      <w:r>
        <w:t xml:space="preserve">	</w:t>
      </w:r>
      <w:r>
        <w:t xml:space="preserve">Цветкова Л. С. Афазия и восстановительное обучение. — Москва: Просвещение, 1988. — С. 207.</w:t>
      </w:r>
    </w:p>
    <w:bookmarkEnd w:id="736"/>
    <w:bookmarkStart w:id="737" w:name="ref-Luriya1973"/>
    <w:p>
      <w:pPr>
        <w:pStyle w:val="Bibliography"/>
      </w:pPr>
      <w:r>
        <w:t xml:space="preserve">331.</w:t>
      </w:r>
      <w:r>
        <w:t xml:space="preserve"> </w:t>
      </w:r>
      <w:r>
        <w:t xml:space="preserve">	</w:t>
      </w:r>
      <w:r>
        <w:t xml:space="preserve">Лурия А. Р. Основы нейропсихологии. — Москва: Изд-во Моск. ун-та, 1973. — С. 374.</w:t>
      </w:r>
    </w:p>
    <w:bookmarkEnd w:id="737"/>
    <w:bookmarkStart w:id="738" w:name="ref-Luriya2008"/>
    <w:p>
      <w:pPr>
        <w:pStyle w:val="Bibliography"/>
      </w:pPr>
      <w:r>
        <w:t xml:space="preserve">332.</w:t>
      </w:r>
      <w:r>
        <w:t xml:space="preserve"> </w:t>
      </w:r>
      <w:r>
        <w:t xml:space="preserve">	</w:t>
      </w:r>
      <w:r>
        <w:t xml:space="preserve">Лурия А. Р. Высшие корковые функции человека. — Санкт-Петербург: Питер, 2008. — С. 431.</w:t>
      </w:r>
    </w:p>
    <w:bookmarkEnd w:id="738"/>
    <w:bookmarkStart w:id="740" w:name="ref-YandexSpeechKit"/>
    <w:p>
      <w:pPr>
        <w:pStyle w:val="Bibliography"/>
      </w:pPr>
      <w:r>
        <w:t xml:space="preserve">333.</w:t>
      </w:r>
      <w:r>
        <w:t xml:space="preserve"> </w:t>
      </w:r>
      <w:r>
        <w:t xml:space="preserve">	</w:t>
      </w:r>
      <w:hyperlink r:id="rId739">
        <w:r>
          <w:rPr>
            <w:rStyle w:val="Hyperlink"/>
          </w:rPr>
          <w:t xml:space="preserve">Yandex SpeechKit</w:t>
        </w:r>
      </w:hyperlink>
      <w:r>
        <w:t xml:space="preserve">.</w:t>
      </w:r>
    </w:p>
    <w:bookmarkEnd w:id="740"/>
    <w:bookmarkStart w:id="742" w:name="ref-SaluteSpeech"/>
    <w:p>
      <w:pPr>
        <w:pStyle w:val="Bibliography"/>
      </w:pPr>
      <w:r>
        <w:t xml:space="preserve">334.</w:t>
      </w:r>
      <w:r>
        <w:t xml:space="preserve"> </w:t>
      </w:r>
      <w:r>
        <w:t xml:space="preserve">	</w:t>
      </w:r>
      <w:hyperlink r:id="rId741">
        <w:r>
          <w:rPr>
            <w:rStyle w:val="Hyperlink"/>
          </w:rPr>
          <w:t xml:space="preserve">SaluteSpeech</w:t>
        </w:r>
      </w:hyperlink>
      <w:r>
        <w:t xml:space="preserve">.</w:t>
      </w:r>
    </w:p>
    <w:bookmarkEnd w:id="742"/>
    <w:bookmarkStart w:id="744" w:name="ref-ShopotAI"/>
    <w:p>
      <w:pPr>
        <w:pStyle w:val="Bibliography"/>
      </w:pPr>
      <w:r>
        <w:t xml:space="preserve">335.</w:t>
      </w:r>
      <w:r>
        <w:t xml:space="preserve"> </w:t>
      </w:r>
      <w:r>
        <w:t xml:space="preserve">	</w:t>
      </w:r>
      <w:hyperlink r:id="rId743">
        <w:r>
          <w:rPr>
            <w:rStyle w:val="Hyperlink"/>
          </w:rPr>
          <w:t xml:space="preserve">Schöpot.ai</w:t>
        </w:r>
      </w:hyperlink>
      <w:r>
        <w:t xml:space="preserve">.</w:t>
      </w:r>
    </w:p>
    <w:bookmarkEnd w:id="744"/>
    <w:bookmarkStart w:id="746" w:name="ref-VoiceKit"/>
    <w:p>
      <w:pPr>
        <w:pStyle w:val="Bibliography"/>
      </w:pPr>
      <w:r>
        <w:t xml:space="preserve">336.</w:t>
      </w:r>
      <w:r>
        <w:t xml:space="preserve"> </w:t>
      </w:r>
      <w:r>
        <w:t xml:space="preserve">	</w:t>
      </w:r>
      <w:hyperlink r:id="rId745">
        <w:r>
          <w:rPr>
            <w:rStyle w:val="Hyperlink"/>
          </w:rPr>
          <w:t xml:space="preserve">VoiceKit</w:t>
        </w:r>
      </w:hyperlink>
      <w:r>
        <w:t xml:space="preserve">.</w:t>
      </w:r>
    </w:p>
    <w:bookmarkEnd w:id="746"/>
    <w:bookmarkStart w:id="748" w:name="ref-MacWhinney2015"/>
    <w:p>
      <w:pPr>
        <w:pStyle w:val="Bibliography"/>
      </w:pPr>
      <w:r>
        <w:t xml:space="preserve">337.</w:t>
      </w:r>
      <w:r>
        <w:t xml:space="preserve"> </w:t>
      </w:r>
      <w:r>
        <w:t xml:space="preserve">	</w:t>
      </w:r>
      <w:r>
        <w:t xml:space="preserve">MacWhinney B.</w:t>
      </w:r>
      <w:r>
        <w:t xml:space="preserve"> </w:t>
      </w:r>
      <w:hyperlink r:id="rId747">
        <w:r>
          <w:rPr>
            <w:rStyle w:val="Hyperlink"/>
          </w:rPr>
          <w:t xml:space="preserve">Analyses of AphasiaBank data</w:t>
        </w:r>
      </w:hyperlink>
      <w:r>
        <w:t xml:space="preserve">. — 2015.</w:t>
      </w:r>
    </w:p>
    <w:bookmarkEnd w:id="748"/>
    <w:bookmarkStart w:id="749" w:name="ref-Khudyakova2016"/>
    <w:p>
      <w:pPr>
        <w:pStyle w:val="Bibliography"/>
      </w:pPr>
      <w:r>
        <w:t xml:space="preserve">338.</w:t>
      </w:r>
      <w:r>
        <w:t xml:space="preserve"> </w:t>
      </w:r>
      <w:r>
        <w:t xml:space="preserve">	</w:t>
      </w:r>
      <w:r>
        <w:t xml:space="preserve">Khudyakova B. M. Russian CliPS: A corpus of narratives by brain-damaged individuals / RaPID-2016. — Saarbruecken, 2016. — P. 22–26.</w:t>
      </w:r>
    </w:p>
    <w:bookmarkEnd w:id="749"/>
    <w:bookmarkStart w:id="750" w:name="ref-Berger2017"/>
    <w:p>
      <w:pPr>
        <w:pStyle w:val="Bibliography"/>
      </w:pPr>
      <w:r>
        <w:t xml:space="preserve">339.</w:t>
      </w:r>
      <w:r>
        <w:t xml:space="preserve"> </w:t>
      </w:r>
      <w:r>
        <w:t xml:space="preserve">	</w:t>
      </w:r>
      <w:r>
        <w:t xml:space="preserve">Берджер Д. Зачем смотреть на животных? — Москва: Ад Маргинем Пресс, 2017. — С. 160.</w:t>
      </w:r>
    </w:p>
    <w:bookmarkEnd w:id="750"/>
    <w:bookmarkStart w:id="751" w:name="ref-Krylova2023"/>
    <w:p>
      <w:pPr>
        <w:pStyle w:val="Bibliography"/>
      </w:pPr>
      <w:r>
        <w:t xml:space="preserve">340.</w:t>
      </w:r>
      <w:r>
        <w:t xml:space="preserve"> </w:t>
      </w:r>
      <w:r>
        <w:t xml:space="preserve">	</w:t>
      </w:r>
      <w:r>
        <w:t xml:space="preserve">Крылова К. Рынок удобных животных. — Москва: НЛО, 2023. — С. 408.</w:t>
      </w:r>
    </w:p>
    <w:bookmarkEnd w:id="751"/>
    <w:bookmarkStart w:id="752" w:name="ref-Markowitz2020"/>
    <w:p>
      <w:pPr>
        <w:pStyle w:val="Bibliography"/>
      </w:pPr>
      <w:r>
        <w:t xml:space="preserve">341.</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52"/>
    <w:bookmarkStart w:id="753" w:name="ref-Aznacheeva2011"/>
    <w:p>
      <w:pPr>
        <w:pStyle w:val="Bibliography"/>
      </w:pPr>
      <w:r>
        <w:t xml:space="preserve">342.</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53"/>
    <w:bookmarkStart w:id="754" w:name="ref-Vepreva2017"/>
    <w:p>
      <w:pPr>
        <w:pStyle w:val="Bibliography"/>
      </w:pPr>
      <w:r>
        <w:t xml:space="preserve">343.</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54"/>
    <w:bookmarkStart w:id="755" w:name="ref-Laletina2007"/>
    <w:p>
      <w:pPr>
        <w:pStyle w:val="Bibliography"/>
      </w:pPr>
      <w:r>
        <w:t xml:space="preserve">344.</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55"/>
    <w:bookmarkStart w:id="757" w:name="ref-Bird2009"/>
    <w:p>
      <w:pPr>
        <w:pStyle w:val="Bibliography"/>
      </w:pPr>
      <w:r>
        <w:t xml:space="preserve">345.</w:t>
      </w:r>
      <w:r>
        <w:t xml:space="preserve"> </w:t>
      </w:r>
      <w:r>
        <w:t xml:space="preserve">	</w:t>
      </w:r>
      <w:r>
        <w:t xml:space="preserve">Bird K. S.</w:t>
      </w:r>
      <w:r>
        <w:t xml:space="preserve"> </w:t>
      </w:r>
      <w:hyperlink r:id="rId756">
        <w:r>
          <w:rPr>
            <w:rStyle w:val="Hyperlink"/>
          </w:rPr>
          <w:t xml:space="preserve">Natural language processing with python</w:t>
        </w:r>
      </w:hyperlink>
      <w:r>
        <w:t xml:space="preserve">. — O’Reilly Media Inc., 2009.</w:t>
      </w:r>
    </w:p>
    <w:bookmarkEnd w:id="757"/>
    <w:bookmarkStart w:id="758" w:name="ref-Lukashevich2016"/>
    <w:p>
      <w:pPr>
        <w:pStyle w:val="Bibliography"/>
      </w:pPr>
      <w:r>
        <w:t xml:space="preserve">346.</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58"/>
    <w:bookmarkStart w:id="759" w:name="ref-Hu2004"/>
    <w:p>
      <w:pPr>
        <w:pStyle w:val="Bibliography"/>
      </w:pPr>
      <w:r>
        <w:t xml:space="preserve">347.</w:t>
      </w:r>
      <w:r>
        <w:t xml:space="preserve"> </w:t>
      </w:r>
      <w:r>
        <w:t xml:space="preserve">	</w:t>
      </w:r>
      <w:r>
        <w:t xml:space="preserve">Hu M., Liu B. Mining opinion features in customer reviews / Proceedings of AAAI conference on artificial intelligence. — 2004. — Vol. 4. — P. 755–760.</w:t>
      </w:r>
    </w:p>
    <w:bookmarkEnd w:id="759"/>
    <w:bookmarkStart w:id="761" w:name="ref-Kolmogorova2024"/>
    <w:p>
      <w:pPr>
        <w:pStyle w:val="Bibliography"/>
      </w:pPr>
      <w:r>
        <w:t xml:space="preserve">348.</w:t>
      </w:r>
      <w:r>
        <w:t xml:space="preserve"> </w:t>
      </w:r>
      <w:r>
        <w:t xml:space="preserve">	</w:t>
      </w:r>
      <w:r>
        <w:t xml:space="preserve">Колмогорова К. А. В.</w:t>
      </w:r>
      <w:r>
        <w:t xml:space="preserve"> </w:t>
      </w:r>
      <w:hyperlink r:id="rId760">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1"/>
    <w:bookmarkStart w:id="762" w:name="ref-Ling2016"/>
    <w:p>
      <w:pPr>
        <w:pStyle w:val="Bibliography"/>
      </w:pPr>
      <w:r>
        <w:t xml:space="preserve">349.</w:t>
      </w:r>
      <w:r>
        <w:t xml:space="preserve"> </w:t>
      </w:r>
      <w:r>
        <w:t xml:space="preserve">	</w:t>
      </w:r>
      <w:r>
        <w:t xml:space="preserve">Ling Y. S. C. The use of modal auxiliary verbs in horoscope: A corpus-based study // Issues in Language Studies. — 2016. — Vol. 5, no. 2.</w:t>
      </w:r>
    </w:p>
    <w:bookmarkEnd w:id="762"/>
    <w:bookmarkStart w:id="763" w:name="ref-Martynenko2018"/>
    <w:p>
      <w:pPr>
        <w:pStyle w:val="Bibliography"/>
      </w:pPr>
      <w:r>
        <w:t xml:space="preserve">350.</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63"/>
    <w:bookmarkStart w:id="764" w:name="ref-Martynenko2018a"/>
    <w:p>
      <w:pPr>
        <w:pStyle w:val="Bibliography"/>
      </w:pPr>
      <w:r>
        <w:t xml:space="preserve">351.</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64"/>
    <w:bookmarkStart w:id="765" w:name="ref-Sherstinova2025"/>
    <w:p>
      <w:pPr>
        <w:pStyle w:val="Bibliography"/>
      </w:pPr>
      <w:r>
        <w:t xml:space="preserve">352.</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65"/>
    <w:bookmarkStart w:id="766" w:name="ref-Skrebtsova2020"/>
    <w:p>
      <w:pPr>
        <w:pStyle w:val="Bibliography"/>
      </w:pPr>
      <w:r>
        <w:t xml:space="preserve">353.</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66"/>
    <w:bookmarkStart w:id="767" w:name="ref-Sherstinova2023b"/>
    <w:p>
      <w:pPr>
        <w:pStyle w:val="Bibliography"/>
      </w:pPr>
      <w:r>
        <w:t xml:space="preserve">354.</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67"/>
    <w:bookmarkStart w:id="768" w:name="ref-Ekman1999"/>
    <w:p>
      <w:pPr>
        <w:pStyle w:val="Bibliography"/>
      </w:pPr>
      <w:r>
        <w:t xml:space="preserve">355.</w:t>
      </w:r>
      <w:r>
        <w:t xml:space="preserve"> </w:t>
      </w:r>
      <w:r>
        <w:t xml:space="preserve">	</w:t>
      </w:r>
      <w:r>
        <w:t xml:space="preserve">Ekman P. Facial expressions. — Chichester: Wiley, 1999. — P. 301–320.</w:t>
      </w:r>
    </w:p>
    <w:bookmarkEnd w:id="768"/>
    <w:bookmarkStart w:id="769" w:name="ref-Kirina2024"/>
    <w:p>
      <w:pPr>
        <w:pStyle w:val="Bibliography"/>
      </w:pPr>
      <w:r>
        <w:t xml:space="preserve">356.</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69"/>
    <w:bookmarkStart w:id="770" w:name="ref-Sherstinova2023a"/>
    <w:p>
      <w:pPr>
        <w:pStyle w:val="Bibliography"/>
      </w:pPr>
      <w:r>
        <w:t xml:space="preserve">357.</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0"/>
    <w:bookmarkStart w:id="771" w:name="ref-Moskvina2025"/>
    <w:p>
      <w:pPr>
        <w:pStyle w:val="Bibliography"/>
      </w:pPr>
      <w:r>
        <w:t xml:space="preserve">358.</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1"/>
    <w:bookmarkStart w:id="772" w:name="ref-Delazari2023"/>
    <w:p>
      <w:pPr>
        <w:pStyle w:val="Bibliography"/>
      </w:pPr>
      <w:r>
        <w:t xml:space="preserve">359.</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72"/>
    <w:bookmarkStart w:id="773" w:name="ref-Sherstinova2019a"/>
    <w:p>
      <w:pPr>
        <w:pStyle w:val="Bibliography"/>
      </w:pPr>
      <w:r>
        <w:t xml:space="preserve">360.</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73"/>
    <w:bookmarkStart w:id="774" w:name="ref-Sherstinova2023c"/>
    <w:p>
      <w:pPr>
        <w:pStyle w:val="Bibliography"/>
      </w:pPr>
      <w:r>
        <w:t xml:space="preserve">361.</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74"/>
    <w:bookmarkStart w:id="775" w:name="ref-Sherstinova2024"/>
    <w:p>
      <w:pPr>
        <w:pStyle w:val="Bibliography"/>
      </w:pPr>
      <w:r>
        <w:t xml:space="preserve">362.</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75"/>
    <w:bookmarkStart w:id="776" w:name="ref-Asinovsky2009"/>
    <w:p>
      <w:pPr>
        <w:pStyle w:val="Bibliography"/>
      </w:pPr>
      <w:r>
        <w:t xml:space="preserve">363.</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76"/>
    <w:bookmarkStart w:id="777" w:name="ref-Sherstinova2009"/>
    <w:p>
      <w:pPr>
        <w:pStyle w:val="Bibliography"/>
      </w:pPr>
      <w:r>
        <w:t xml:space="preserve">364.</w:t>
      </w:r>
      <w:r>
        <w:t xml:space="preserve"> </w:t>
      </w:r>
      <w:r>
        <w:t xml:space="preserve">	</w:t>
      </w:r>
      <w:r>
        <w:t xml:space="preserve">Sherstinova T. The structure of the ORD speech corpus of russian everyday communication / International conference on text, speech and dialogue. — 2009. — P. 258–265.</w:t>
      </w:r>
    </w:p>
    <w:bookmarkEnd w:id="777"/>
    <w:bookmarkStart w:id="778" w:name="ref-Bogdanova-Beglarian2016"/>
    <w:p>
      <w:pPr>
        <w:pStyle w:val="Bibliography"/>
      </w:pPr>
      <w:r>
        <w:t xml:space="preserve">365.</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78"/>
    <w:bookmarkStart w:id="779" w:name="ref-Bogdanova-Beglarian2019"/>
    <w:p>
      <w:pPr>
        <w:pStyle w:val="Bibliography"/>
      </w:pPr>
      <w:r>
        <w:t xml:space="preserve">366.</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79"/>
    <w:bookmarkStart w:id="780" w:name="ref-Sherstinova2013"/>
    <w:p>
      <w:pPr>
        <w:pStyle w:val="Bibliography"/>
      </w:pPr>
      <w:r>
        <w:t xml:space="preserve">367.</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0"/>
    <w:bookmarkEnd w:id="781"/>
    <w:bookmarkEnd w:id="782"/>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2">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3">
        <w:r>
          <w:rPr>
            <w:rStyle w:val="Hyperlink"/>
          </w:rPr>
          <w:t xml:space="preserve">https://github.com/tbkazakova/even_corpus/tree/main/apertium-eve</w:t>
        </w:r>
      </w:hyperlink>
      <w:r>
        <w:t xml:space="preserve">.</w:t>
      </w:r>
    </w:p>
  </w:footnote>
  <w:footnote w:id="301">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2">
    <w:p>
      <w:pPr>
        <w:pStyle w:val="FootnoteText"/>
      </w:pPr>
      <w:r>
        <w:rPr>
          <w:rStyle w:val="FootnoteReference"/>
        </w:rPr>
        <w:footnoteRef/>
      </w:r>
      <w:r>
        <w:t xml:space="preserve"> </w:t>
      </w:r>
      <w:hyperlink r:id="rId323">
        <w:r>
          <w:rPr>
            <w:rStyle w:val="Hyperlink"/>
          </w:rPr>
          <w:t xml:space="preserve">https://huggingface.co/BoloniniD/YandexGPT-5-Lite-8B-instruct-Q8_0-GGUF</w:t>
        </w:r>
      </w:hyperlink>
    </w:p>
  </w:footnote>
  <w:footnote w:id="338">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7">
    <w:p>
      <w:pPr>
        <w:pStyle w:val="FootnoteText"/>
      </w:pPr>
      <w:r>
        <w:rPr>
          <w:rStyle w:val="FootnoteReference"/>
        </w:rPr>
        <w:footnoteRef/>
      </w:r>
      <w:r>
        <w:t xml:space="preserve"> </w:t>
      </w:r>
      <w:hyperlink r:id="rId348">
        <w:r>
          <w:rPr>
            <w:rStyle w:val="Hyperlink"/>
          </w:rPr>
          <w:t xml:space="preserve">https://huggingface.co/seara/rubert-tiny2-russian-emotion-detection-ru-go-emotions</w:t>
        </w:r>
      </w:hyperlink>
    </w:p>
  </w:footnote>
  <w:footnote w:id="349">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0">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2">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7">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58">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bCs/>
      <w:color w:val="auto"/>
      <w:sz w:val="24"/>
      <w:szCs w:val="24"/>
    </w:rPr>
  </w:style>
  <w:style w:styleId="Heading4" w:type="paragraph">
    <w:name w:val="Heading 4"/>
    <w:basedOn w:val="Normal"/>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42" Target="media/rId242.jpg" /><Relationship Type="http://schemas.openxmlformats.org/officeDocument/2006/relationships/image" Id="rId246" Target="media/rId246.jp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3" Target="media/rId273.jpg" /><Relationship Type="http://schemas.openxmlformats.org/officeDocument/2006/relationships/image" Id="rId295" Target="media/rId295.png" /><Relationship Type="http://schemas.openxmlformats.org/officeDocument/2006/relationships/image" Id="rId133" Target="media/rId133.png" /><Relationship Type="http://schemas.openxmlformats.org/officeDocument/2006/relationships/image" Id="rId206" Target="media/rId206.jpg" /><Relationship Type="http://schemas.openxmlformats.org/officeDocument/2006/relationships/image" Id="rId218" Target="media/rId218.png" /><Relationship Type="http://schemas.openxmlformats.org/officeDocument/2006/relationships/image" Id="rId222" Target="media/rId222.jpg" /><Relationship Type="http://schemas.openxmlformats.org/officeDocument/2006/relationships/image" Id="rId32" Target="media/rId32.png" /><Relationship Type="http://schemas.openxmlformats.org/officeDocument/2006/relationships/image" Id="rId302" Target="media/rId302.jpg" /><Relationship Type="http://schemas.openxmlformats.org/officeDocument/2006/relationships/image" Id="rId318" Target="media/rId318.jpg" /><Relationship Type="http://schemas.openxmlformats.org/officeDocument/2006/relationships/image" Id="rId325" Target="media/rId325.jpg" /><Relationship Type="http://schemas.openxmlformats.org/officeDocument/2006/relationships/image" Id="rId329" Target="media/rId329.jpg" /><Relationship Type="http://schemas.openxmlformats.org/officeDocument/2006/relationships/image" Id="rId333" Target="media/rId333.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53" Target="media/rId353.jpg" /><Relationship Type="http://schemas.openxmlformats.org/officeDocument/2006/relationships/image" Id="rId361" Target="media/rId361.jpg" /><Relationship Type="http://schemas.openxmlformats.org/officeDocument/2006/relationships/hyperlink" Id="rId369" Target="http://esc-corpus.ru/" TargetMode="External" /><Relationship Type="http://schemas.openxmlformats.org/officeDocument/2006/relationships/hyperlink" Id="rId121"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18" Target="http://web-corpora.net/learner_corpus/" TargetMode="External" /><Relationship Type="http://schemas.openxmlformats.org/officeDocument/2006/relationships/hyperlink" Id="rId119" Target="http://www.web-corpora.net/RLC/" TargetMode="External" /><Relationship Type="http://schemas.openxmlformats.org/officeDocument/2006/relationships/hyperlink" Id="rId120" Target="http://www.web-corpora.net/children/" TargetMode="External" /><Relationship Type="http://schemas.openxmlformats.org/officeDocument/2006/relationships/hyperlink" Id="rId660" Target="https://10.5281/zenodo.6807070" TargetMode="External" /><Relationship Type="http://schemas.openxmlformats.org/officeDocument/2006/relationships/hyperlink" Id="rId760" Target="https://DOI:10.17223/19986645/89/4" TargetMode="External" /><Relationship Type="http://schemas.openxmlformats.org/officeDocument/2006/relationships/hyperlink" Id="rId727" Target="https://aclanthology.org/P02-1040/" TargetMode="External" /><Relationship Type="http://schemas.openxmlformats.org/officeDocument/2006/relationships/hyperlink" Id="rId725" Target="https://aclanthology.org/W04-1013/" TargetMode="External" /><Relationship Type="http://schemas.openxmlformats.org/officeDocument/2006/relationships/hyperlink" Id="rId729" Target="https://api.semanticscholar.org/CorpusID:127986044" TargetMode="External" /><Relationship Type="http://schemas.openxmlformats.org/officeDocument/2006/relationships/hyperlink" Id="rId721"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4"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39" Target="https://cloud.yandex.ru/services/speechkit" TargetMode="External" /><Relationship Type="http://schemas.openxmlformats.org/officeDocument/2006/relationships/hyperlink" Id="rId741"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5"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7"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3"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6"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5"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69" Target="http://esc-corpus.ru/" TargetMode="External" /><Relationship Type="http://schemas.openxmlformats.org/officeDocument/2006/relationships/hyperlink" Id="rId121"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18" Target="http://web-corpora.net/learner_corpus/" TargetMode="External" /><Relationship Type="http://schemas.openxmlformats.org/officeDocument/2006/relationships/hyperlink" Id="rId119" Target="http://www.web-corpora.net/RLC/" TargetMode="External" /><Relationship Type="http://schemas.openxmlformats.org/officeDocument/2006/relationships/hyperlink" Id="rId120" Target="http://www.web-corpora.net/children/" TargetMode="External" /><Relationship Type="http://schemas.openxmlformats.org/officeDocument/2006/relationships/hyperlink" Id="rId660" Target="https://10.5281/zenodo.6807070" TargetMode="External" /><Relationship Type="http://schemas.openxmlformats.org/officeDocument/2006/relationships/hyperlink" Id="rId760" Target="https://DOI:10.17223/19986645/89/4" TargetMode="External" /><Relationship Type="http://schemas.openxmlformats.org/officeDocument/2006/relationships/hyperlink" Id="rId727" Target="https://aclanthology.org/P02-1040/" TargetMode="External" /><Relationship Type="http://schemas.openxmlformats.org/officeDocument/2006/relationships/hyperlink" Id="rId725" Target="https://aclanthology.org/W04-1013/" TargetMode="External" /><Relationship Type="http://schemas.openxmlformats.org/officeDocument/2006/relationships/hyperlink" Id="rId729" Target="https://api.semanticscholar.org/CorpusID:127986044" TargetMode="External" /><Relationship Type="http://schemas.openxmlformats.org/officeDocument/2006/relationships/hyperlink" Id="rId721"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4"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39" Target="https://cloud.yandex.ru/services/speechkit" TargetMode="External" /><Relationship Type="http://schemas.openxmlformats.org/officeDocument/2006/relationships/hyperlink" Id="rId741"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5"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7"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3"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6"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5"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2025-11-22T07:46:03Z</dcterms:created>
  <dcterms:modified xsi:type="dcterms:W3CDTF">2025-11-22T07:46:03Z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